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641C" w14:textId="77777777" w:rsidR="00102192" w:rsidRDefault="00102192" w:rsidP="00102192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The Dayton Power and Light Company</w:t>
      </w:r>
    </w:p>
    <w:p w14:paraId="5D8B4B7B" w14:textId="77777777" w:rsidR="00102192" w:rsidRDefault="00102192" w:rsidP="00102192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2021 ATRR </w:t>
      </w:r>
    </w:p>
    <w:p w14:paraId="43DB8832" w14:textId="77777777" w:rsidR="00102192" w:rsidRDefault="00102192" w:rsidP="00102192">
      <w:pPr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(December 15, 2020)</w:t>
      </w:r>
    </w:p>
    <w:p w14:paraId="5804D030" w14:textId="77777777" w:rsidR="00EB3F2D" w:rsidRDefault="00EB3F2D">
      <w:pPr>
        <w:pStyle w:val="BodyText"/>
        <w:rPr>
          <w:b/>
          <w:sz w:val="26"/>
        </w:rPr>
      </w:pPr>
    </w:p>
    <w:p w14:paraId="4BB39C1A" w14:textId="77777777" w:rsidR="00EB3F2D" w:rsidRDefault="00EB3F2D">
      <w:pPr>
        <w:pStyle w:val="BodyText"/>
        <w:rPr>
          <w:b/>
          <w:sz w:val="22"/>
        </w:rPr>
      </w:pPr>
    </w:p>
    <w:p w14:paraId="4478630B" w14:textId="77777777" w:rsidR="00EB3F2D" w:rsidRDefault="00F71A62">
      <w:pPr>
        <w:pStyle w:val="Heading1"/>
        <w:tabs>
          <w:tab w:val="left" w:pos="839"/>
        </w:tabs>
        <w:spacing w:line="278" w:lineRule="auto"/>
        <w:ind w:left="839" w:right="431" w:hanging="720"/>
      </w:pPr>
      <w:r>
        <w:t>To:</w:t>
      </w:r>
      <w:r>
        <w:tab/>
        <w:t xml:space="preserve">Interested Parties (as defined in Section </w:t>
      </w:r>
      <w:r w:rsidR="00102192">
        <w:t>1</w:t>
      </w:r>
      <w:r>
        <w:t>.</w:t>
      </w:r>
      <w:r w:rsidR="00102192">
        <w:t>i</w:t>
      </w:r>
      <w:r>
        <w:t>. of the Formula Rate Implementation Protocols)</w:t>
      </w:r>
    </w:p>
    <w:p w14:paraId="597C6F6A" w14:textId="77777777" w:rsidR="00EB3F2D" w:rsidRDefault="00EB3F2D">
      <w:pPr>
        <w:pStyle w:val="BodyText"/>
        <w:spacing w:before="2"/>
        <w:rPr>
          <w:b/>
          <w:sz w:val="27"/>
        </w:rPr>
      </w:pPr>
    </w:p>
    <w:p w14:paraId="15CB2E38" w14:textId="77777777" w:rsidR="00EB3F2D" w:rsidRDefault="00F71A62">
      <w:pPr>
        <w:ind w:left="120"/>
        <w:rPr>
          <w:b/>
          <w:sz w:val="24"/>
        </w:rPr>
      </w:pPr>
      <w:r>
        <w:rPr>
          <w:b/>
          <w:sz w:val="24"/>
          <w:u w:val="thick"/>
        </w:rPr>
        <w:t>2021 Projection</w:t>
      </w:r>
    </w:p>
    <w:p w14:paraId="2EB8E5B9" w14:textId="77777777" w:rsidR="00EB3F2D" w:rsidRDefault="00EB3F2D">
      <w:pPr>
        <w:pStyle w:val="BodyText"/>
        <w:spacing w:before="5"/>
        <w:rPr>
          <w:b/>
          <w:sz w:val="23"/>
        </w:rPr>
      </w:pPr>
    </w:p>
    <w:p w14:paraId="0651B9B6" w14:textId="184D59B1" w:rsidR="00EB3F2D" w:rsidRDefault="00F71A62">
      <w:pPr>
        <w:pStyle w:val="BodyText"/>
        <w:spacing w:before="90" w:line="276" w:lineRule="auto"/>
        <w:ind w:left="120"/>
      </w:pPr>
      <w:r>
        <w:t>In accordance with Section</w:t>
      </w:r>
      <w:r w:rsidR="00102192">
        <w:t>s</w:t>
      </w:r>
      <w:r>
        <w:t xml:space="preserve"> </w:t>
      </w:r>
      <w:r w:rsidR="00102192">
        <w:t>3</w:t>
      </w:r>
      <w:r>
        <w:t>.</w:t>
      </w:r>
      <w:r w:rsidR="00102192">
        <w:t>c.</w:t>
      </w:r>
      <w:r w:rsidR="00FB7729">
        <w:t>,</w:t>
      </w:r>
      <w:r w:rsidR="00094B1E">
        <w:t xml:space="preserve"> The Dayton Power and Light </w:t>
      </w:r>
      <w:r w:rsidR="00F25522">
        <w:t>Company (</w:t>
      </w:r>
      <w:r w:rsidR="00094B1E">
        <w:t xml:space="preserve">“DP&amp;L”) </w:t>
      </w:r>
      <w:r w:rsidR="00760933">
        <w:t xml:space="preserve">previously </w:t>
      </w:r>
      <w:r w:rsidR="00094B1E">
        <w:t xml:space="preserve">posted to the PJM website </w:t>
      </w:r>
      <w:r w:rsidR="00760933">
        <w:t>its</w:t>
      </w:r>
      <w:r w:rsidR="00CA1950">
        <w:t xml:space="preserve"> 2021 Annual Transmission Revenue Requirement (“ATRR”) in the form of an Excel spreadsheet.</w:t>
      </w:r>
      <w:r w:rsidR="00F25522">
        <w:t xml:space="preserve"> In accordance with Section </w:t>
      </w:r>
      <w:r w:rsidR="00102192">
        <w:t>3.f.</w:t>
      </w:r>
      <w:r>
        <w:t xml:space="preserve"> of the Formula Rate Implementation Protocols, </w:t>
      </w:r>
      <w:bookmarkStart w:id="0" w:name="_Hlk58830252"/>
      <w:r w:rsidR="00102192">
        <w:t>DP&amp;</w:t>
      </w:r>
      <w:r w:rsidR="00F25522">
        <w:t>L is updating its ATRR</w:t>
      </w:r>
      <w:r>
        <w:t xml:space="preserve"> and </w:t>
      </w:r>
      <w:bookmarkEnd w:id="0"/>
      <w:r>
        <w:t xml:space="preserve">is providing the following information to be posted on the </w:t>
      </w:r>
      <w:hyperlink r:id="rId8">
        <w:r>
          <w:rPr>
            <w:color w:val="0000FF"/>
            <w:u w:val="single" w:color="0000FF"/>
          </w:rPr>
          <w:t>www.pjm.com</w:t>
        </w:r>
        <w:r>
          <w:rPr>
            <w:color w:val="0000FF"/>
          </w:rPr>
          <w:t xml:space="preserve"> </w:t>
        </w:r>
      </w:hyperlink>
      <w:r>
        <w:t>website:</w:t>
      </w:r>
    </w:p>
    <w:p w14:paraId="084E23E2" w14:textId="77777777" w:rsidR="00EB3F2D" w:rsidRDefault="00EB3F2D">
      <w:pPr>
        <w:pStyle w:val="BodyText"/>
        <w:spacing w:before="9"/>
        <w:rPr>
          <w:sz w:val="19"/>
        </w:rPr>
      </w:pPr>
    </w:p>
    <w:p w14:paraId="38C34163" w14:textId="4F894926" w:rsidR="00EB3F2D" w:rsidRDefault="00102192">
      <w:pPr>
        <w:pStyle w:val="ListParagraph"/>
        <w:numPr>
          <w:ilvl w:val="0"/>
          <w:numId w:val="3"/>
        </w:numPr>
        <w:tabs>
          <w:tab w:val="left" w:pos="840"/>
        </w:tabs>
        <w:spacing w:before="90" w:line="276" w:lineRule="auto"/>
        <w:ind w:left="839" w:right="468"/>
        <w:rPr>
          <w:sz w:val="24"/>
        </w:rPr>
      </w:pPr>
      <w:r>
        <w:rPr>
          <w:sz w:val="24"/>
        </w:rPr>
        <w:t>DP&amp;L</w:t>
      </w:r>
      <w:r w:rsidR="00F71A62">
        <w:rPr>
          <w:sz w:val="24"/>
        </w:rPr>
        <w:t xml:space="preserve">’s </w:t>
      </w:r>
      <w:bookmarkStart w:id="1" w:name="_Hlk58830307"/>
      <w:r w:rsidR="00F71A62">
        <w:rPr>
          <w:sz w:val="24"/>
        </w:rPr>
        <w:t>ATRR</w:t>
      </w:r>
      <w:r>
        <w:rPr>
          <w:sz w:val="24"/>
        </w:rPr>
        <w:t xml:space="preserve"> </w:t>
      </w:r>
      <w:bookmarkEnd w:id="1"/>
      <w:r>
        <w:rPr>
          <w:sz w:val="24"/>
        </w:rPr>
        <w:t>and</w:t>
      </w:r>
      <w:r w:rsidR="00F71A62">
        <w:rPr>
          <w:sz w:val="24"/>
        </w:rPr>
        <w:t xml:space="preserve"> rate for Network Integrated Transmission Service (“NITS”), based on applying its projected costs, revenues and credits, for the next calendar year;</w:t>
      </w:r>
    </w:p>
    <w:p w14:paraId="35B033DB" w14:textId="77777777" w:rsidR="00EB3F2D" w:rsidRDefault="00EB3F2D">
      <w:pPr>
        <w:pStyle w:val="BodyText"/>
        <w:spacing w:before="6"/>
        <w:rPr>
          <w:sz w:val="27"/>
        </w:rPr>
      </w:pPr>
    </w:p>
    <w:p w14:paraId="43C21793" w14:textId="77777777" w:rsidR="00EB3F2D" w:rsidRDefault="00102192">
      <w:pPr>
        <w:pStyle w:val="ListParagraph"/>
        <w:numPr>
          <w:ilvl w:val="0"/>
          <w:numId w:val="3"/>
        </w:numPr>
        <w:tabs>
          <w:tab w:val="left" w:pos="840"/>
        </w:tabs>
        <w:spacing w:line="276" w:lineRule="auto"/>
        <w:ind w:left="839" w:right="162"/>
        <w:rPr>
          <w:sz w:val="24"/>
        </w:rPr>
      </w:pPr>
      <w:r>
        <w:rPr>
          <w:sz w:val="24"/>
        </w:rPr>
        <w:t>DP&amp;L has updated the N</w:t>
      </w:r>
      <w:r w:rsidR="00F71A62">
        <w:rPr>
          <w:sz w:val="24"/>
        </w:rPr>
        <w:t>etwork Service Peak Load of the D</w:t>
      </w:r>
      <w:r>
        <w:rPr>
          <w:sz w:val="24"/>
        </w:rPr>
        <w:t>ayton</w:t>
      </w:r>
      <w:r w:rsidR="00F71A62">
        <w:rPr>
          <w:sz w:val="24"/>
        </w:rPr>
        <w:t xml:space="preserve"> Zone </w:t>
      </w:r>
      <w:r>
        <w:rPr>
          <w:sz w:val="24"/>
        </w:rPr>
        <w:t xml:space="preserve">to be used by </w:t>
      </w:r>
      <w:r w:rsidR="00F71A62">
        <w:rPr>
          <w:sz w:val="24"/>
        </w:rPr>
        <w:t>the Transmission Provider to determine each Network Customer’s Zone Network Load pursuant to Section 34.1 and Attachment H-1</w:t>
      </w:r>
      <w:r>
        <w:rPr>
          <w:sz w:val="24"/>
        </w:rPr>
        <w:t>5</w:t>
      </w:r>
      <w:r w:rsidR="00F71A62">
        <w:rPr>
          <w:sz w:val="24"/>
        </w:rPr>
        <w:t xml:space="preserve"> for the next calendar year;</w:t>
      </w:r>
      <w:r w:rsidR="00F71A62">
        <w:rPr>
          <w:spacing w:val="-5"/>
          <w:sz w:val="24"/>
        </w:rPr>
        <w:t xml:space="preserve"> </w:t>
      </w:r>
      <w:r w:rsidR="00F71A62">
        <w:rPr>
          <w:sz w:val="24"/>
        </w:rPr>
        <w:t>and</w:t>
      </w:r>
    </w:p>
    <w:p w14:paraId="080F3307" w14:textId="77777777" w:rsidR="00EB3F2D" w:rsidRDefault="00EB3F2D">
      <w:pPr>
        <w:pStyle w:val="BodyText"/>
        <w:spacing w:before="1"/>
      </w:pPr>
    </w:p>
    <w:p w14:paraId="4A25581A" w14:textId="77777777" w:rsidR="00EB3F2D" w:rsidRDefault="00102192">
      <w:pPr>
        <w:pStyle w:val="ListParagraph"/>
        <w:numPr>
          <w:ilvl w:val="0"/>
          <w:numId w:val="3"/>
        </w:numPr>
        <w:tabs>
          <w:tab w:val="left" w:pos="900"/>
        </w:tabs>
        <w:spacing w:line="276" w:lineRule="auto"/>
        <w:ind w:left="839" w:right="243"/>
        <w:rPr>
          <w:sz w:val="24"/>
        </w:rPr>
      </w:pPr>
      <w:r>
        <w:rPr>
          <w:sz w:val="24"/>
        </w:rPr>
        <w:t>DP&amp;L has updated the ROE to reflect the 50</w:t>
      </w:r>
      <w:r w:rsidR="00777270">
        <w:rPr>
          <w:sz w:val="24"/>
        </w:rPr>
        <w:t>-</w:t>
      </w:r>
      <w:r>
        <w:rPr>
          <w:sz w:val="24"/>
        </w:rPr>
        <w:t>basis point RTO Participation Adder effective October 3, 2020, in accordance with the FERC Order in Docket N</w:t>
      </w:r>
      <w:r w:rsidR="00777270">
        <w:rPr>
          <w:sz w:val="24"/>
        </w:rPr>
        <w:t>o.</w:t>
      </w:r>
      <w:r>
        <w:rPr>
          <w:sz w:val="24"/>
        </w:rPr>
        <w:t xml:space="preserve"> ER20-1068 which allowed the Adder to go into effect</w:t>
      </w:r>
      <w:r w:rsidR="00777270">
        <w:rPr>
          <w:sz w:val="24"/>
        </w:rPr>
        <w:t>,</w:t>
      </w:r>
      <w:r>
        <w:rPr>
          <w:sz w:val="24"/>
        </w:rPr>
        <w:t xml:space="preserve"> subject to refund.</w:t>
      </w:r>
    </w:p>
    <w:p w14:paraId="3F8D819E" w14:textId="77777777" w:rsidR="00760933" w:rsidRPr="00760933" w:rsidRDefault="00760933" w:rsidP="00760933">
      <w:pPr>
        <w:pStyle w:val="BodyText"/>
        <w:spacing w:before="6"/>
        <w:ind w:left="90"/>
      </w:pPr>
    </w:p>
    <w:p w14:paraId="32B257BA" w14:textId="55FB9B4B" w:rsidR="00760933" w:rsidRPr="00760933" w:rsidRDefault="00760933" w:rsidP="00760933">
      <w:pPr>
        <w:pStyle w:val="BodyText"/>
        <w:spacing w:before="6"/>
        <w:ind w:left="90"/>
      </w:pPr>
      <w:r w:rsidRPr="00760933">
        <w:t xml:space="preserve">Please note that this update does </w:t>
      </w:r>
      <w:r>
        <w:t>not reflect the recently filed settlement in Docket No. ER20-1150.  If the Commission approves that settlement, additional changes will be made as soon as practicable thereafter.</w:t>
      </w:r>
    </w:p>
    <w:p w14:paraId="7EDC3F6D" w14:textId="77777777" w:rsidR="00760933" w:rsidRDefault="00760933">
      <w:pPr>
        <w:pStyle w:val="BodyText"/>
        <w:spacing w:before="6"/>
        <w:rPr>
          <w:sz w:val="27"/>
        </w:rPr>
      </w:pPr>
      <w:bookmarkStart w:id="2" w:name="_GoBack"/>
      <w:bookmarkEnd w:id="2"/>
    </w:p>
    <w:p w14:paraId="5EF94FDF" w14:textId="77777777" w:rsidR="00EB3F2D" w:rsidRDefault="00F71A62">
      <w:pPr>
        <w:pStyle w:val="BodyText"/>
        <w:spacing w:line="276" w:lineRule="auto"/>
        <w:ind w:left="119" w:right="683"/>
      </w:pPr>
      <w:r>
        <w:t xml:space="preserve">Regarding item (i) above, the information (“2021 Projection”) is provided in the form of an Excel file posted along with this document on </w:t>
      </w:r>
      <w:hyperlink r:id="rId9">
        <w:r>
          <w:rPr>
            <w:color w:val="0000FF"/>
            <w:u w:val="single" w:color="0000FF"/>
          </w:rPr>
          <w:t>www.pjm.com</w:t>
        </w:r>
        <w:r>
          <w:t>.</w:t>
        </w:r>
      </w:hyperlink>
    </w:p>
    <w:p w14:paraId="1D79F4EE" w14:textId="77777777" w:rsidR="00EB3F2D" w:rsidRDefault="00EB3F2D">
      <w:pPr>
        <w:pStyle w:val="BodyText"/>
        <w:spacing w:before="9"/>
        <w:rPr>
          <w:sz w:val="19"/>
        </w:rPr>
      </w:pPr>
    </w:p>
    <w:sectPr w:rsidR="00EB3F2D" w:rsidSect="00102192"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31F6"/>
    <w:multiLevelType w:val="hybridMultilevel"/>
    <w:tmpl w:val="ACC82886"/>
    <w:lvl w:ilvl="0" w:tplc="2126FEFA">
      <w:start w:val="1"/>
      <w:numFmt w:val="lowerRoman"/>
      <w:lvlText w:val="(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7ECF45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3A924FB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336AEDE8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5FC675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34B6755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072A368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DF84DB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E0466FB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E54050"/>
    <w:multiLevelType w:val="hybridMultilevel"/>
    <w:tmpl w:val="EDEAAFC4"/>
    <w:lvl w:ilvl="0" w:tplc="60D65558">
      <w:start w:val="1"/>
      <w:numFmt w:val="lowerRoman"/>
      <w:lvlText w:val="(%1)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9D00590"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2" w:tplc="A28E980A"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3" w:tplc="428A2304">
      <w:numFmt w:val="bullet"/>
      <w:lvlText w:val="•"/>
      <w:lvlJc w:val="left"/>
      <w:pPr>
        <w:ind w:left="3972" w:hanging="720"/>
      </w:pPr>
      <w:rPr>
        <w:rFonts w:hint="default"/>
        <w:lang w:val="en-US" w:eastAsia="en-US" w:bidi="ar-SA"/>
      </w:rPr>
    </w:lvl>
    <w:lvl w:ilvl="4" w:tplc="9A9AAF0C">
      <w:numFmt w:val="bullet"/>
      <w:lvlText w:val="•"/>
      <w:lvlJc w:val="left"/>
      <w:pPr>
        <w:ind w:left="4776" w:hanging="720"/>
      </w:pPr>
      <w:rPr>
        <w:rFonts w:hint="default"/>
        <w:lang w:val="en-US" w:eastAsia="en-US" w:bidi="ar-SA"/>
      </w:rPr>
    </w:lvl>
    <w:lvl w:ilvl="5" w:tplc="CEC03F04"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 w:tplc="F092B166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ar-SA"/>
      </w:rPr>
    </w:lvl>
    <w:lvl w:ilvl="7" w:tplc="374CF00C"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  <w:lvl w:ilvl="8" w:tplc="7FD20236">
      <w:numFmt w:val="bullet"/>
      <w:lvlText w:val="•"/>
      <w:lvlJc w:val="left"/>
      <w:pPr>
        <w:ind w:left="79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5B965C8D"/>
    <w:multiLevelType w:val="hybridMultilevel"/>
    <w:tmpl w:val="B34269AE"/>
    <w:lvl w:ilvl="0" w:tplc="BD3C1958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A80D3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BD38925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E9F63930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74FA0A78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FDFC376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6B52829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D55EF10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253E12B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F2D"/>
    <w:rsid w:val="00094B1E"/>
    <w:rsid w:val="00102192"/>
    <w:rsid w:val="00465302"/>
    <w:rsid w:val="00760933"/>
    <w:rsid w:val="00777270"/>
    <w:rsid w:val="00CA1950"/>
    <w:rsid w:val="00EB3F2D"/>
    <w:rsid w:val="00F25522"/>
    <w:rsid w:val="00F71A62"/>
    <w:rsid w:val="00FB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900F3"/>
  <w15:docId w15:val="{830D053C-A34E-4C4D-89AC-758AB76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9" w:right="11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609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3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0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9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93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jm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pj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68F33918A864586453495507E48EC" ma:contentTypeVersion="4" ma:contentTypeDescription="Create a new document." ma:contentTypeScope="" ma:versionID="fc25082bf952d555279df0bb2bdd09a2">
  <xsd:schema xmlns:xsd="http://www.w3.org/2001/XMLSchema" xmlns:xs="http://www.w3.org/2001/XMLSchema" xmlns:p="http://schemas.microsoft.com/office/2006/metadata/properties" xmlns:ns2="105a3813-a66c-4ab3-a28a-39e52728d7ee" targetNamespace="http://schemas.microsoft.com/office/2006/metadata/properties" ma:root="true" ma:fieldsID="fbb7e04bf817b0f1f2e42ed9d0a93cc4" ns2:_="">
    <xsd:import namespace="105a3813-a66c-4ab3-a28a-39e52728d7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a3813-a66c-4ab3-a28a-39e52728d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8F62B0-5A91-4C6F-B242-F3417B8BF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a3813-a66c-4ab3-a28a-39e52728d7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D251-98E0-44CE-A53E-6786A7DFE5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6A192-2A42-4516-B10E-0DB72A4E50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05a3813-a66c-4ab3-a28a-39e52728d7e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DPL, Inc.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 Kellie</dc:creator>
  <cp:lastModifiedBy>Jessica</cp:lastModifiedBy>
  <cp:revision>3</cp:revision>
  <dcterms:created xsi:type="dcterms:W3CDTF">2020-12-14T15:00:00Z</dcterms:created>
  <dcterms:modified xsi:type="dcterms:W3CDTF">2020-12-15T00:19:00Z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2020-12-14T00:00:00Z</vt:filetime>
  </property>
  <property fmtid="{D5CDD505-2E9C-101B-9397-08002B2CF9AE}" pid="5" name="ContentTypeId">
    <vt:lpwstr>0x01010080968F33918A864586453495507E48EC</vt:lpwstr>
  </property>
</Properties>
</file>