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641C" w14:textId="3DECF002" w:rsidR="00102192" w:rsidRDefault="00102192" w:rsidP="00102192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Dayton Power and Light Company</w:t>
      </w:r>
      <w:r w:rsidR="002F45BE" w:rsidRPr="002F45BE">
        <w:rPr>
          <w:b/>
          <w:bCs/>
          <w:color w:val="000000"/>
          <w:sz w:val="24"/>
          <w:szCs w:val="24"/>
        </w:rPr>
        <w:t xml:space="preserve"> d/b/a AES OHIO</w:t>
      </w:r>
    </w:p>
    <w:p w14:paraId="5D8B4B7B" w14:textId="52C48FD5" w:rsidR="00102192" w:rsidRDefault="00102192" w:rsidP="00102192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202</w:t>
      </w:r>
      <w:r w:rsidR="00AC0BC5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ATRR </w:t>
      </w:r>
    </w:p>
    <w:p w14:paraId="43DB8832" w14:textId="6BDF9E1B" w:rsidR="00102192" w:rsidRDefault="00102192" w:rsidP="00102192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</w:t>
      </w:r>
      <w:r w:rsidR="00AC0BC5">
        <w:rPr>
          <w:b/>
          <w:bCs/>
          <w:color w:val="000000"/>
          <w:sz w:val="24"/>
          <w:szCs w:val="24"/>
        </w:rPr>
        <w:t>October 3, 2022</w:t>
      </w:r>
      <w:r>
        <w:rPr>
          <w:b/>
          <w:bCs/>
          <w:color w:val="000000"/>
          <w:sz w:val="24"/>
          <w:szCs w:val="24"/>
        </w:rPr>
        <w:t>)</w:t>
      </w:r>
    </w:p>
    <w:p w14:paraId="5804D030" w14:textId="77777777" w:rsidR="00EB3F2D" w:rsidRDefault="00EB3F2D">
      <w:pPr>
        <w:pStyle w:val="BodyText"/>
        <w:rPr>
          <w:b/>
          <w:sz w:val="26"/>
        </w:rPr>
      </w:pPr>
    </w:p>
    <w:p w14:paraId="4BB39C1A" w14:textId="77777777" w:rsidR="00EB3F2D" w:rsidRDefault="00EB3F2D">
      <w:pPr>
        <w:pStyle w:val="BodyText"/>
        <w:rPr>
          <w:b/>
          <w:sz w:val="22"/>
        </w:rPr>
      </w:pPr>
    </w:p>
    <w:p w14:paraId="4478630B" w14:textId="77777777" w:rsidR="00EB3F2D" w:rsidRDefault="00F71A62">
      <w:pPr>
        <w:pStyle w:val="Heading1"/>
        <w:tabs>
          <w:tab w:val="left" w:pos="839"/>
        </w:tabs>
        <w:spacing w:line="278" w:lineRule="auto"/>
        <w:ind w:left="839" w:right="431" w:hanging="720"/>
      </w:pPr>
      <w:r>
        <w:t>To:</w:t>
      </w:r>
      <w:r>
        <w:tab/>
        <w:t xml:space="preserve">Interested Parties (as defined in Section </w:t>
      </w:r>
      <w:r w:rsidR="00102192">
        <w:t>1</w:t>
      </w:r>
      <w:r>
        <w:t>.</w:t>
      </w:r>
      <w:r w:rsidR="00102192">
        <w:t>i</w:t>
      </w:r>
      <w:r>
        <w:t>. of the Formula Rate Implementation Protocols)</w:t>
      </w:r>
    </w:p>
    <w:p w14:paraId="597C6F6A" w14:textId="77777777" w:rsidR="00EB3F2D" w:rsidRDefault="00EB3F2D">
      <w:pPr>
        <w:pStyle w:val="BodyText"/>
        <w:spacing w:before="2"/>
        <w:rPr>
          <w:b/>
          <w:sz w:val="27"/>
        </w:rPr>
      </w:pPr>
    </w:p>
    <w:p w14:paraId="15CB2E38" w14:textId="3D493A83" w:rsidR="00EB3F2D" w:rsidRDefault="00F71A62">
      <w:pPr>
        <w:ind w:left="120"/>
        <w:rPr>
          <w:b/>
          <w:sz w:val="24"/>
        </w:rPr>
      </w:pPr>
      <w:r>
        <w:rPr>
          <w:b/>
          <w:sz w:val="24"/>
          <w:u w:val="thick"/>
        </w:rPr>
        <w:t>202</w:t>
      </w:r>
      <w:r w:rsidR="00C953D3">
        <w:rPr>
          <w:b/>
          <w:sz w:val="24"/>
          <w:u w:val="thick"/>
        </w:rPr>
        <w:t>3</w:t>
      </w:r>
      <w:r>
        <w:rPr>
          <w:b/>
          <w:sz w:val="24"/>
          <w:u w:val="thick"/>
        </w:rPr>
        <w:t xml:space="preserve"> Projection</w:t>
      </w:r>
    </w:p>
    <w:p w14:paraId="2EB8E5B9" w14:textId="77777777" w:rsidR="00EB3F2D" w:rsidRDefault="00EB3F2D">
      <w:pPr>
        <w:pStyle w:val="BodyText"/>
        <w:spacing w:before="5"/>
        <w:rPr>
          <w:b/>
          <w:sz w:val="23"/>
        </w:rPr>
      </w:pPr>
    </w:p>
    <w:p w14:paraId="0651B9B6" w14:textId="1BBF9386" w:rsidR="00EB3F2D" w:rsidRDefault="00F71A62">
      <w:pPr>
        <w:pStyle w:val="BodyText"/>
        <w:spacing w:before="90" w:line="276" w:lineRule="auto"/>
        <w:ind w:left="120"/>
      </w:pPr>
      <w:r>
        <w:t xml:space="preserve">In accordance with Section </w:t>
      </w:r>
      <w:r w:rsidR="00102192">
        <w:t>3</w:t>
      </w:r>
      <w:r>
        <w:t>.</w:t>
      </w:r>
      <w:r w:rsidR="00102192">
        <w:t>c.</w:t>
      </w:r>
      <w:r w:rsidR="001955E3">
        <w:t xml:space="preserve"> of its formula rate protocols</w:t>
      </w:r>
      <w:r w:rsidR="00FB7729">
        <w:t>,</w:t>
      </w:r>
      <w:r w:rsidR="00094B1E">
        <w:t xml:space="preserve"> The Dayton Power and Light </w:t>
      </w:r>
      <w:r w:rsidR="00F25522">
        <w:t>Company (</w:t>
      </w:r>
      <w:r w:rsidR="00094B1E">
        <w:t xml:space="preserve">“DP&amp;L”) </w:t>
      </w:r>
      <w:r w:rsidR="004A36F8">
        <w:t xml:space="preserve">is </w:t>
      </w:r>
      <w:r w:rsidR="00871FED">
        <w:t xml:space="preserve">requesting PJM to post to its </w:t>
      </w:r>
      <w:r w:rsidR="00094B1E">
        <w:t xml:space="preserve">website </w:t>
      </w:r>
      <w:r w:rsidR="00AB0131">
        <w:t>(</w:t>
      </w:r>
      <w:hyperlink r:id="rId8" w:history="1">
        <w:r w:rsidR="00AB0131" w:rsidRPr="004050F3">
          <w:rPr>
            <w:rStyle w:val="Hyperlink"/>
          </w:rPr>
          <w:t>www.pjm.com</w:t>
        </w:r>
      </w:hyperlink>
      <w:r w:rsidR="00AB0131">
        <w:t xml:space="preserve">) </w:t>
      </w:r>
      <w:r w:rsidR="00871FED">
        <w:t xml:space="preserve">DP&amp;L’s </w:t>
      </w:r>
      <w:r w:rsidR="00FE1AE3">
        <w:t>Annual Update</w:t>
      </w:r>
      <w:r w:rsidR="001955E3">
        <w:t>, as described below</w:t>
      </w:r>
      <w:r w:rsidR="004D6BA8">
        <w:t>.  As a high</w:t>
      </w:r>
      <w:r w:rsidR="00370D71">
        <w:t>-</w:t>
      </w:r>
      <w:r w:rsidR="004D6BA8">
        <w:t xml:space="preserve">level summary, </w:t>
      </w:r>
      <w:r w:rsidR="00F1638C">
        <w:t xml:space="preserve">after true-up credits plus interest and corrections and other adjustments, </w:t>
      </w:r>
      <w:r w:rsidR="004D6BA8">
        <w:t xml:space="preserve">the Projected 2023 ATRR </w:t>
      </w:r>
      <w:r w:rsidR="00AC6996">
        <w:t xml:space="preserve">for the Dayton Zone is </w:t>
      </w:r>
      <w:r w:rsidR="00F1638C">
        <w:t>$62,</w:t>
      </w:r>
      <w:r w:rsidR="00AC6996">
        <w:t xml:space="preserve">043,314, </w:t>
      </w:r>
      <w:r w:rsidR="00F1638C">
        <w:t>which</w:t>
      </w:r>
      <w:r w:rsidR="004D6BA8">
        <w:t xml:space="preserve"> is $</w:t>
      </w:r>
      <w:r w:rsidR="00AC6996">
        <w:t>739,113</w:t>
      </w:r>
      <w:r w:rsidR="004D6BA8">
        <w:t>(</w:t>
      </w:r>
      <w:r w:rsidR="00AC6996">
        <w:t>1</w:t>
      </w:r>
      <w:r w:rsidR="004D6BA8">
        <w:t>.</w:t>
      </w:r>
      <w:r w:rsidR="00AC6996">
        <w:t>2</w:t>
      </w:r>
      <w:r w:rsidR="004D6BA8">
        <w:t>%) higher than the currently effective 2022 ATRR.</w:t>
      </w:r>
      <w:r w:rsidR="00AC6996">
        <w:t xml:space="preserve">  </w:t>
      </w:r>
      <w:r w:rsidR="004D6BA8">
        <w:t xml:space="preserve">   </w:t>
      </w:r>
    </w:p>
    <w:p w14:paraId="084E23E2" w14:textId="77777777" w:rsidR="00EB3F2D" w:rsidRDefault="00EB3F2D">
      <w:pPr>
        <w:pStyle w:val="BodyText"/>
        <w:spacing w:before="9"/>
        <w:rPr>
          <w:sz w:val="19"/>
        </w:rPr>
      </w:pPr>
    </w:p>
    <w:p w14:paraId="43C21793" w14:textId="22ED3C5E" w:rsidR="00EB3F2D" w:rsidRDefault="00102192" w:rsidP="00123B2F">
      <w:pPr>
        <w:pStyle w:val="ListParagraph"/>
        <w:numPr>
          <w:ilvl w:val="0"/>
          <w:numId w:val="3"/>
        </w:numPr>
        <w:tabs>
          <w:tab w:val="left" w:pos="840"/>
        </w:tabs>
        <w:spacing w:before="6" w:line="276" w:lineRule="auto"/>
        <w:ind w:left="839" w:right="162"/>
        <w:rPr>
          <w:sz w:val="24"/>
        </w:rPr>
      </w:pPr>
      <w:r w:rsidRPr="00123B2F">
        <w:rPr>
          <w:sz w:val="24"/>
        </w:rPr>
        <w:t>DP&amp;L</w:t>
      </w:r>
      <w:r w:rsidR="00F71A62" w:rsidRPr="00123B2F">
        <w:rPr>
          <w:sz w:val="24"/>
        </w:rPr>
        <w:t xml:space="preserve">’s </w:t>
      </w:r>
      <w:bookmarkStart w:id="0" w:name="_Hlk58830307"/>
      <w:r w:rsidR="0019135B" w:rsidRPr="00123B2F">
        <w:rPr>
          <w:sz w:val="24"/>
        </w:rPr>
        <w:t xml:space="preserve">Projected 2023 </w:t>
      </w:r>
      <w:r w:rsidR="00F71A62" w:rsidRPr="00123B2F">
        <w:rPr>
          <w:sz w:val="24"/>
        </w:rPr>
        <w:t>ATRR</w:t>
      </w:r>
      <w:r w:rsidRPr="00123B2F">
        <w:rPr>
          <w:sz w:val="24"/>
        </w:rPr>
        <w:t xml:space="preserve"> </w:t>
      </w:r>
      <w:bookmarkEnd w:id="0"/>
      <w:r w:rsidRPr="00123B2F">
        <w:rPr>
          <w:sz w:val="24"/>
        </w:rPr>
        <w:t>and</w:t>
      </w:r>
      <w:r w:rsidR="00F71A62" w:rsidRPr="00123B2F">
        <w:rPr>
          <w:sz w:val="24"/>
        </w:rPr>
        <w:t xml:space="preserve"> rate for Network Integrated Transmission Service (“NITS”)</w:t>
      </w:r>
      <w:r w:rsidR="0064686A">
        <w:rPr>
          <w:sz w:val="24"/>
        </w:rPr>
        <w:t xml:space="preserve"> in Excel</w:t>
      </w:r>
      <w:r w:rsidR="00F71A62" w:rsidRPr="00123B2F">
        <w:rPr>
          <w:sz w:val="24"/>
        </w:rPr>
        <w:t>, based on applying its projected costs, revenues and credits, for the calendar year</w:t>
      </w:r>
      <w:r w:rsidR="0019135B" w:rsidRPr="00123B2F">
        <w:rPr>
          <w:sz w:val="24"/>
        </w:rPr>
        <w:t xml:space="preserve"> </w:t>
      </w:r>
      <w:r w:rsidR="00B92162">
        <w:rPr>
          <w:sz w:val="24"/>
        </w:rPr>
        <w:t xml:space="preserve">2023 </w:t>
      </w:r>
      <w:r w:rsidR="0019135B" w:rsidRPr="00123B2F">
        <w:rPr>
          <w:sz w:val="24"/>
        </w:rPr>
        <w:t xml:space="preserve">and including </w:t>
      </w:r>
      <w:r w:rsidR="00A9204B" w:rsidRPr="00123B2F">
        <w:rPr>
          <w:sz w:val="24"/>
        </w:rPr>
        <w:t xml:space="preserve">the Annual True-up Adjustment for 2021 and two </w:t>
      </w:r>
      <w:r w:rsidR="00152DFC">
        <w:rPr>
          <w:sz w:val="24"/>
        </w:rPr>
        <w:t>adjustments</w:t>
      </w:r>
      <w:r w:rsidR="00123B2F" w:rsidRPr="00123B2F">
        <w:rPr>
          <w:sz w:val="24"/>
        </w:rPr>
        <w:t xml:space="preserve">.  </w:t>
      </w:r>
      <w:r w:rsidR="00AE70AA">
        <w:rPr>
          <w:sz w:val="24"/>
        </w:rPr>
        <w:t>The Projected 2023 ATRR for NITS</w:t>
      </w:r>
      <w:r w:rsidR="00D650E2">
        <w:rPr>
          <w:sz w:val="24"/>
        </w:rPr>
        <w:t>, including the 2021 ATU,</w:t>
      </w:r>
      <w:r w:rsidR="00AE70AA">
        <w:rPr>
          <w:sz w:val="24"/>
        </w:rPr>
        <w:t xml:space="preserve"> </w:t>
      </w:r>
      <w:r w:rsidR="000C6973">
        <w:rPr>
          <w:sz w:val="24"/>
        </w:rPr>
        <w:t>is $6</w:t>
      </w:r>
      <w:r w:rsidR="000E6CFF">
        <w:rPr>
          <w:sz w:val="24"/>
        </w:rPr>
        <w:t>2,</w:t>
      </w:r>
      <w:r w:rsidR="00AC6996">
        <w:rPr>
          <w:sz w:val="24"/>
        </w:rPr>
        <w:t>043</w:t>
      </w:r>
      <w:r w:rsidR="00B81CFE">
        <w:rPr>
          <w:sz w:val="24"/>
        </w:rPr>
        <w:t>,</w:t>
      </w:r>
      <w:r w:rsidR="00AC6996">
        <w:rPr>
          <w:sz w:val="24"/>
        </w:rPr>
        <w:t>314</w:t>
      </w:r>
      <w:r w:rsidR="000C6973">
        <w:rPr>
          <w:sz w:val="24"/>
        </w:rPr>
        <w:t xml:space="preserve"> while the </w:t>
      </w:r>
      <w:r w:rsidR="0015100E">
        <w:rPr>
          <w:sz w:val="24"/>
        </w:rPr>
        <w:t>Projected 2023 ATRR for the Marysville Substation and Line Reconductoring Project</w:t>
      </w:r>
      <w:r w:rsidR="00567850">
        <w:rPr>
          <w:sz w:val="24"/>
        </w:rPr>
        <w:t>,</w:t>
      </w:r>
      <w:r w:rsidR="0015100E">
        <w:rPr>
          <w:sz w:val="24"/>
        </w:rPr>
        <w:t xml:space="preserve"> </w:t>
      </w:r>
      <w:r w:rsidR="00D650E2">
        <w:rPr>
          <w:sz w:val="24"/>
        </w:rPr>
        <w:t xml:space="preserve">including the ATU and </w:t>
      </w:r>
      <w:r w:rsidR="0015100E">
        <w:rPr>
          <w:sz w:val="24"/>
        </w:rPr>
        <w:t>which is allocated to the Dayton Zone and the ATSI Zone</w:t>
      </w:r>
      <w:r w:rsidR="00567850">
        <w:rPr>
          <w:sz w:val="24"/>
        </w:rPr>
        <w:t>,</w:t>
      </w:r>
      <w:r w:rsidR="0015100E">
        <w:rPr>
          <w:sz w:val="24"/>
        </w:rPr>
        <w:t xml:space="preserve"> is </w:t>
      </w:r>
      <w:r w:rsidR="005B6385">
        <w:rPr>
          <w:sz w:val="24"/>
        </w:rPr>
        <w:t>$5,</w:t>
      </w:r>
      <w:r w:rsidR="00B81CFE">
        <w:rPr>
          <w:sz w:val="24"/>
        </w:rPr>
        <w:t>4</w:t>
      </w:r>
      <w:r w:rsidR="00AC6996">
        <w:rPr>
          <w:sz w:val="24"/>
        </w:rPr>
        <w:t>40</w:t>
      </w:r>
      <w:r w:rsidR="005B6385">
        <w:rPr>
          <w:sz w:val="24"/>
        </w:rPr>
        <w:t>,</w:t>
      </w:r>
      <w:r w:rsidR="00AC6996">
        <w:rPr>
          <w:sz w:val="24"/>
        </w:rPr>
        <w:t>021</w:t>
      </w:r>
      <w:r w:rsidR="005B6385">
        <w:rPr>
          <w:sz w:val="24"/>
        </w:rPr>
        <w:t xml:space="preserve">.  </w:t>
      </w:r>
      <w:r w:rsidR="008F3818">
        <w:rPr>
          <w:sz w:val="24"/>
        </w:rPr>
        <w:t xml:space="preserve">Pursuant to </w:t>
      </w:r>
      <w:r w:rsidR="00F744D1">
        <w:rPr>
          <w:sz w:val="24"/>
        </w:rPr>
        <w:t xml:space="preserve">Paragraph </w:t>
      </w:r>
      <w:r w:rsidR="003B2515">
        <w:rPr>
          <w:sz w:val="24"/>
        </w:rPr>
        <w:t>3.k.</w:t>
      </w:r>
      <w:r w:rsidR="005E339F">
        <w:rPr>
          <w:sz w:val="24"/>
        </w:rPr>
        <w:t xml:space="preserve">, </w:t>
      </w:r>
      <w:r w:rsidRPr="00123B2F">
        <w:rPr>
          <w:sz w:val="24"/>
        </w:rPr>
        <w:t xml:space="preserve">DP&amp;L </w:t>
      </w:r>
      <w:r w:rsidR="00123B2F">
        <w:rPr>
          <w:sz w:val="24"/>
        </w:rPr>
        <w:t xml:space="preserve">will update </w:t>
      </w:r>
      <w:r w:rsidR="00842BD9">
        <w:rPr>
          <w:sz w:val="24"/>
        </w:rPr>
        <w:t xml:space="preserve">prior to December 15 </w:t>
      </w:r>
      <w:r w:rsidR="008F3818">
        <w:rPr>
          <w:sz w:val="24"/>
        </w:rPr>
        <w:t xml:space="preserve">the </w:t>
      </w:r>
      <w:r w:rsidRPr="00123B2F">
        <w:rPr>
          <w:sz w:val="24"/>
        </w:rPr>
        <w:t>N</w:t>
      </w:r>
      <w:r w:rsidR="00F71A62" w:rsidRPr="00123B2F">
        <w:rPr>
          <w:sz w:val="24"/>
        </w:rPr>
        <w:t>etwork Service Peak Load</w:t>
      </w:r>
      <w:r w:rsidR="00B84FF0">
        <w:rPr>
          <w:sz w:val="24"/>
        </w:rPr>
        <w:t xml:space="preserve"> </w:t>
      </w:r>
      <w:r w:rsidR="00F71A62" w:rsidRPr="00123B2F">
        <w:rPr>
          <w:sz w:val="24"/>
        </w:rPr>
        <w:t>of the D</w:t>
      </w:r>
      <w:r w:rsidRPr="00123B2F">
        <w:rPr>
          <w:sz w:val="24"/>
        </w:rPr>
        <w:t>ayton</w:t>
      </w:r>
      <w:r w:rsidR="00F71A62" w:rsidRPr="00123B2F">
        <w:rPr>
          <w:sz w:val="24"/>
        </w:rPr>
        <w:t xml:space="preserve"> Zone </w:t>
      </w:r>
      <w:r w:rsidR="00A5046E">
        <w:rPr>
          <w:sz w:val="24"/>
        </w:rPr>
        <w:t xml:space="preserve">used to determine </w:t>
      </w:r>
      <w:r w:rsidR="008F3818">
        <w:rPr>
          <w:sz w:val="24"/>
        </w:rPr>
        <w:t xml:space="preserve">DP&amp;L’s </w:t>
      </w:r>
      <w:r w:rsidR="00A5046E">
        <w:rPr>
          <w:sz w:val="24"/>
        </w:rPr>
        <w:t xml:space="preserve">NITS rate for 2023. </w:t>
      </w:r>
    </w:p>
    <w:p w14:paraId="68113679" w14:textId="07C6C43E" w:rsidR="00187AE4" w:rsidRPr="00123B2F" w:rsidRDefault="00187AE4" w:rsidP="00187AE4">
      <w:pPr>
        <w:pStyle w:val="ListParagraph"/>
        <w:numPr>
          <w:ilvl w:val="0"/>
          <w:numId w:val="3"/>
        </w:numPr>
        <w:tabs>
          <w:tab w:val="left" w:pos="840"/>
        </w:tabs>
        <w:spacing w:before="6" w:line="276" w:lineRule="auto"/>
        <w:ind w:left="839" w:right="162"/>
        <w:rPr>
          <w:sz w:val="24"/>
        </w:rPr>
      </w:pPr>
      <w:r w:rsidRPr="00940B6C">
        <w:rPr>
          <w:sz w:val="24"/>
          <w:szCs w:val="24"/>
        </w:rPr>
        <w:t>A worksheet in Excel providing the quantification</w:t>
      </w:r>
      <w:r>
        <w:rPr>
          <w:sz w:val="24"/>
        </w:rPr>
        <w:t xml:space="preserve"> of two adjustments included in the Annual Update to reflect properly the </w:t>
      </w:r>
      <w:r w:rsidR="00CC3FF1">
        <w:rPr>
          <w:sz w:val="24"/>
        </w:rPr>
        <w:t>Construction Work in Progress (“</w:t>
      </w:r>
      <w:r>
        <w:rPr>
          <w:sz w:val="24"/>
        </w:rPr>
        <w:t>CWIP</w:t>
      </w:r>
      <w:r w:rsidR="00CC3FF1">
        <w:rPr>
          <w:sz w:val="24"/>
        </w:rPr>
        <w:t>”)</w:t>
      </w:r>
      <w:r>
        <w:rPr>
          <w:sz w:val="24"/>
        </w:rPr>
        <w:t xml:space="preserve"> Incentive during 2020 for the </w:t>
      </w:r>
      <w:r w:rsidRPr="00940B6C">
        <w:rPr>
          <w:sz w:val="24"/>
          <w:szCs w:val="24"/>
        </w:rPr>
        <w:t>Clinton Transformer Project and the South Charleston (Madison) Substation Project</w:t>
      </w:r>
      <w:r>
        <w:rPr>
          <w:sz w:val="24"/>
        </w:rPr>
        <w:t xml:space="preserve">, as more fully described below </w:t>
      </w:r>
    </w:p>
    <w:p w14:paraId="6F31EFE4" w14:textId="5DD79FCE" w:rsidR="00F014E4" w:rsidRPr="00940B6C" w:rsidRDefault="00187AE4" w:rsidP="00123B2F">
      <w:pPr>
        <w:pStyle w:val="ListParagraph"/>
        <w:numPr>
          <w:ilvl w:val="0"/>
          <w:numId w:val="3"/>
        </w:numPr>
        <w:tabs>
          <w:tab w:val="left" w:pos="840"/>
        </w:tabs>
        <w:spacing w:before="6" w:line="276" w:lineRule="auto"/>
        <w:ind w:left="839" w:right="162"/>
        <w:rPr>
          <w:sz w:val="24"/>
          <w:szCs w:val="24"/>
        </w:rPr>
      </w:pPr>
      <w:r>
        <w:rPr>
          <w:sz w:val="24"/>
        </w:rPr>
        <w:t xml:space="preserve"> </w:t>
      </w:r>
      <w:r w:rsidR="00B62B62">
        <w:rPr>
          <w:sz w:val="24"/>
        </w:rPr>
        <w:t xml:space="preserve">A revised </w:t>
      </w:r>
      <w:r w:rsidR="00A25089">
        <w:rPr>
          <w:sz w:val="24"/>
        </w:rPr>
        <w:t xml:space="preserve">DP&amp;L </w:t>
      </w:r>
      <w:r w:rsidR="0064686A">
        <w:rPr>
          <w:sz w:val="24"/>
        </w:rPr>
        <w:t>A</w:t>
      </w:r>
      <w:r w:rsidR="00A25089">
        <w:rPr>
          <w:sz w:val="24"/>
        </w:rPr>
        <w:t xml:space="preserve">ctual </w:t>
      </w:r>
      <w:r w:rsidR="00152DFC">
        <w:rPr>
          <w:sz w:val="24"/>
        </w:rPr>
        <w:t xml:space="preserve">2021 </w:t>
      </w:r>
      <w:r w:rsidR="00A25089" w:rsidRPr="00940B6C">
        <w:rPr>
          <w:sz w:val="24"/>
          <w:szCs w:val="24"/>
        </w:rPr>
        <w:t xml:space="preserve">ATRR </w:t>
      </w:r>
      <w:r w:rsidR="00152DFC" w:rsidRPr="00940B6C">
        <w:rPr>
          <w:sz w:val="24"/>
          <w:szCs w:val="24"/>
        </w:rPr>
        <w:t xml:space="preserve">in Excel </w:t>
      </w:r>
      <w:r w:rsidR="00A25089" w:rsidRPr="00940B6C">
        <w:rPr>
          <w:sz w:val="24"/>
          <w:szCs w:val="24"/>
        </w:rPr>
        <w:t xml:space="preserve">to correct for </w:t>
      </w:r>
      <w:r w:rsidR="00276716">
        <w:rPr>
          <w:sz w:val="24"/>
          <w:szCs w:val="24"/>
        </w:rPr>
        <w:t xml:space="preserve">three </w:t>
      </w:r>
      <w:r w:rsidR="00A25089" w:rsidRPr="00940B6C">
        <w:rPr>
          <w:sz w:val="24"/>
          <w:szCs w:val="24"/>
        </w:rPr>
        <w:t xml:space="preserve">items inadvertently in error in the </w:t>
      </w:r>
      <w:r w:rsidR="00B67C4C" w:rsidRPr="00940B6C">
        <w:rPr>
          <w:sz w:val="24"/>
          <w:szCs w:val="24"/>
        </w:rPr>
        <w:t xml:space="preserve">June </w:t>
      </w:r>
      <w:r w:rsidR="005D025A" w:rsidRPr="00940B6C">
        <w:rPr>
          <w:sz w:val="24"/>
          <w:szCs w:val="24"/>
        </w:rPr>
        <w:t xml:space="preserve">15, 2022 </w:t>
      </w:r>
      <w:r w:rsidR="00B67C4C" w:rsidRPr="00940B6C">
        <w:rPr>
          <w:sz w:val="24"/>
          <w:szCs w:val="24"/>
        </w:rPr>
        <w:t>Informational Filing</w:t>
      </w:r>
      <w:r w:rsidR="005E339F" w:rsidRPr="00940B6C">
        <w:rPr>
          <w:sz w:val="24"/>
          <w:szCs w:val="24"/>
        </w:rPr>
        <w:t xml:space="preserve"> and to add CWIP </w:t>
      </w:r>
      <w:r w:rsidR="00940B6C" w:rsidRPr="00940B6C">
        <w:rPr>
          <w:sz w:val="24"/>
          <w:szCs w:val="24"/>
        </w:rPr>
        <w:t xml:space="preserve">in rate base for </w:t>
      </w:r>
      <w:r w:rsidR="00565BF1">
        <w:rPr>
          <w:sz w:val="24"/>
          <w:szCs w:val="24"/>
        </w:rPr>
        <w:t xml:space="preserve">the above two </w:t>
      </w:r>
      <w:r w:rsidR="00276716">
        <w:rPr>
          <w:sz w:val="24"/>
          <w:szCs w:val="24"/>
        </w:rPr>
        <w:t>projects</w:t>
      </w:r>
      <w:r w:rsidR="009C682E">
        <w:rPr>
          <w:sz w:val="24"/>
          <w:szCs w:val="24"/>
        </w:rPr>
        <w:t>, as more fully described below</w:t>
      </w:r>
      <w:r w:rsidR="00F014E4" w:rsidRPr="00940B6C">
        <w:rPr>
          <w:sz w:val="24"/>
          <w:szCs w:val="24"/>
        </w:rPr>
        <w:t>.</w:t>
      </w:r>
    </w:p>
    <w:p w14:paraId="3F8D819E" w14:textId="77777777" w:rsidR="00760933" w:rsidRPr="00760933" w:rsidRDefault="00760933" w:rsidP="00760933">
      <w:pPr>
        <w:pStyle w:val="BodyText"/>
        <w:spacing w:before="6"/>
        <w:ind w:left="90"/>
      </w:pPr>
    </w:p>
    <w:p w14:paraId="0EF965A2" w14:textId="21438643" w:rsidR="00A80335" w:rsidRDefault="00B03E1E">
      <w:pPr>
        <w:pStyle w:val="BodyText"/>
        <w:spacing w:line="276" w:lineRule="auto"/>
        <w:ind w:left="119" w:right="683"/>
      </w:pPr>
      <w:r>
        <w:t xml:space="preserve">DP&amp;L includes two adjustments in </w:t>
      </w:r>
      <w:r w:rsidR="00524B98">
        <w:t xml:space="preserve">Attachment </w:t>
      </w:r>
      <w:r w:rsidR="00A878B7">
        <w:t>11</w:t>
      </w:r>
      <w:r w:rsidR="00A80335">
        <w:t xml:space="preserve">-Corrections of its Projected 2023 ATRR.  </w:t>
      </w:r>
      <w:r w:rsidR="009F7ADD">
        <w:t xml:space="preserve">The </w:t>
      </w:r>
      <w:r w:rsidR="00A80335">
        <w:t xml:space="preserve">adjustments recognize the Ohio Siting Board’s approval </w:t>
      </w:r>
      <w:r w:rsidR="00DD11BB">
        <w:t xml:space="preserve">of </w:t>
      </w:r>
      <w:r w:rsidR="009F7ADD">
        <w:t xml:space="preserve">the </w:t>
      </w:r>
      <w:r w:rsidR="00011E01">
        <w:t xml:space="preserve">Clinton Transformer Project and the South Charleston </w:t>
      </w:r>
      <w:r w:rsidR="00AF2953">
        <w:t xml:space="preserve">(Madison) Substation Project </w:t>
      </w:r>
      <w:r w:rsidR="00DD11BB">
        <w:t>and</w:t>
      </w:r>
      <w:r w:rsidR="00CC3FF1">
        <w:t>, thus,</w:t>
      </w:r>
      <w:r w:rsidR="00DD11BB">
        <w:t xml:space="preserve"> the satisfaction of the condition FERC placed on granting the CWIP Incentive for these two projects</w:t>
      </w:r>
      <w:r w:rsidR="00AF2953">
        <w:t xml:space="preserve">.  The adjustments reflect </w:t>
      </w:r>
      <w:r w:rsidR="00CC3FF1">
        <w:t xml:space="preserve">the elimination of the Allowance for Funds Used During Construction and </w:t>
      </w:r>
      <w:r w:rsidR="00AF2953">
        <w:t xml:space="preserve">the </w:t>
      </w:r>
      <w:r w:rsidR="00CC3FF1">
        <w:t xml:space="preserve">inclusion of </w:t>
      </w:r>
      <w:r w:rsidR="00AF2953">
        <w:t xml:space="preserve">CWIP </w:t>
      </w:r>
      <w:r w:rsidR="00CC3FF1">
        <w:t xml:space="preserve">effective </w:t>
      </w:r>
      <w:r w:rsidR="00AF2953">
        <w:t>back to</w:t>
      </w:r>
      <w:r w:rsidR="009F7ADD">
        <w:t xml:space="preserve"> </w:t>
      </w:r>
      <w:r w:rsidR="00C738E9">
        <w:t xml:space="preserve">the date when costs began to be incurred for these </w:t>
      </w:r>
      <w:r w:rsidR="00CC3FF1">
        <w:t xml:space="preserve">two </w:t>
      </w:r>
      <w:r w:rsidR="00C738E9">
        <w:t>projects through December 31, 202</w:t>
      </w:r>
      <w:r w:rsidR="00463BBC">
        <w:t>0</w:t>
      </w:r>
      <w:r w:rsidR="00AC6996">
        <w:t xml:space="preserve"> (but not earlier than May 3, 2020)</w:t>
      </w:r>
      <w:r w:rsidR="00463BBC">
        <w:t xml:space="preserve">.  Any </w:t>
      </w:r>
      <w:r w:rsidR="00742418">
        <w:t xml:space="preserve">necessary </w:t>
      </w:r>
      <w:r w:rsidR="00463BBC">
        <w:t xml:space="preserve">adjustments after 2020 are included in the </w:t>
      </w:r>
      <w:r w:rsidR="008F3376">
        <w:t xml:space="preserve">corrected, </w:t>
      </w:r>
      <w:r w:rsidR="00463BBC">
        <w:t xml:space="preserve">Actual 2021 ATRR </w:t>
      </w:r>
      <w:r w:rsidR="007102F8">
        <w:t xml:space="preserve">and will be included in future </w:t>
      </w:r>
      <w:r w:rsidR="00834226">
        <w:t xml:space="preserve">actual </w:t>
      </w:r>
      <w:r w:rsidR="007102F8">
        <w:t>ATRR</w:t>
      </w:r>
      <w:r w:rsidR="00834226">
        <w:t>s, as necessary</w:t>
      </w:r>
      <w:r w:rsidR="007102F8">
        <w:t xml:space="preserve">.  </w:t>
      </w:r>
      <w:r w:rsidR="00E40430">
        <w:t xml:space="preserve">   </w:t>
      </w:r>
      <w:r w:rsidR="00C738E9">
        <w:t xml:space="preserve">  </w:t>
      </w:r>
      <w:r w:rsidR="00AF2953">
        <w:t xml:space="preserve"> </w:t>
      </w:r>
      <w:r w:rsidR="00DD11BB">
        <w:t xml:space="preserve"> </w:t>
      </w:r>
      <w:r w:rsidR="00A80335">
        <w:t xml:space="preserve">  </w:t>
      </w:r>
    </w:p>
    <w:p w14:paraId="319540B9" w14:textId="77777777" w:rsidR="00A80335" w:rsidRDefault="00A80335">
      <w:pPr>
        <w:pStyle w:val="BodyText"/>
        <w:spacing w:line="276" w:lineRule="auto"/>
        <w:ind w:left="119" w:right="683"/>
      </w:pPr>
    </w:p>
    <w:p w14:paraId="14F4BAF8" w14:textId="77777777" w:rsidR="009C75C0" w:rsidRDefault="00B976BF" w:rsidP="00707D8B">
      <w:pPr>
        <w:pStyle w:val="BodyText"/>
        <w:spacing w:line="276" w:lineRule="auto"/>
        <w:ind w:left="119" w:right="683"/>
      </w:pPr>
      <w:r>
        <w:t>DP&amp;L originally provided the Actual 2021 ATRR on June 15, 2022</w:t>
      </w:r>
      <w:r w:rsidR="00063C1E">
        <w:t xml:space="preserve"> (posted to the PJM website and provided to FERC via an informational filing).  Since that time, DP&amp;L has </w:t>
      </w:r>
      <w:r w:rsidR="00063C1E">
        <w:lastRenderedPageBreak/>
        <w:t xml:space="preserve">discovered </w:t>
      </w:r>
      <w:r w:rsidR="00DD0336">
        <w:t>three</w:t>
      </w:r>
      <w:r w:rsidR="00063C1E">
        <w:t xml:space="preserve"> errors in the data.</w:t>
      </w:r>
      <w:r w:rsidR="00351AE2">
        <w:t xml:space="preserve">  First, the ITC Adjustment amounts on Lines </w:t>
      </w:r>
      <w:r w:rsidR="00507E85">
        <w:t xml:space="preserve">127 and 128 of Appendix A were inadvertently included as increases to income taxes and should be reductions.  Second, </w:t>
      </w:r>
      <w:r w:rsidR="002910E2">
        <w:t xml:space="preserve">the </w:t>
      </w:r>
      <w:r w:rsidR="003E25EF">
        <w:t xml:space="preserve">ADIT-282 liberalized depreciation amounts on Line 23 of </w:t>
      </w:r>
      <w:r w:rsidR="00F916F9">
        <w:t xml:space="preserve">Attachment </w:t>
      </w:r>
      <w:r w:rsidR="006E6BAB">
        <w:t xml:space="preserve">1C-ADIT Prior Year were not correct in that the </w:t>
      </w:r>
      <w:r w:rsidR="00B01F71">
        <w:t xml:space="preserve">total </w:t>
      </w:r>
      <w:r w:rsidR="006E6BAB">
        <w:t xml:space="preserve">amount in Column B is the amount that should have been </w:t>
      </w:r>
      <w:r w:rsidR="00B01F71">
        <w:t xml:space="preserve">included in </w:t>
      </w:r>
      <w:r w:rsidR="008A3782">
        <w:t>“</w:t>
      </w:r>
      <w:r w:rsidR="00635CBE">
        <w:t>only transmission related</w:t>
      </w:r>
      <w:r w:rsidR="008A3782">
        <w:t>”</w:t>
      </w:r>
      <w:r w:rsidR="00635CBE">
        <w:t xml:space="preserve"> in </w:t>
      </w:r>
      <w:r w:rsidR="00B01F71">
        <w:t>Column</w:t>
      </w:r>
      <w:r w:rsidR="00635CBE">
        <w:t xml:space="preserve"> D and the ADIT for general and intangible plant, which should have been included</w:t>
      </w:r>
      <w:r w:rsidR="00E64E1E">
        <w:t xml:space="preserve"> in</w:t>
      </w:r>
      <w:r w:rsidR="00635CBE">
        <w:t xml:space="preserve"> </w:t>
      </w:r>
      <w:r w:rsidR="008A3782">
        <w:t>“</w:t>
      </w:r>
      <w:r w:rsidR="00731C46">
        <w:t>labor related</w:t>
      </w:r>
      <w:r w:rsidR="008A3782">
        <w:t>”</w:t>
      </w:r>
      <w:r w:rsidR="00731C46">
        <w:t xml:space="preserve"> </w:t>
      </w:r>
      <w:r w:rsidR="00700496">
        <w:t>(</w:t>
      </w:r>
      <w:r w:rsidR="00635CBE">
        <w:t>Column</w:t>
      </w:r>
      <w:r w:rsidR="00731C46">
        <w:t xml:space="preserve"> F</w:t>
      </w:r>
      <w:r w:rsidR="00700496">
        <w:t>)</w:t>
      </w:r>
      <w:r w:rsidR="00731C46">
        <w:t xml:space="preserve">, was omitted.  </w:t>
      </w:r>
      <w:r w:rsidR="00700496">
        <w:t xml:space="preserve">Third, </w:t>
      </w:r>
      <w:r w:rsidR="0056255B">
        <w:t>the accelerated depreciation balances at 12/31/21</w:t>
      </w:r>
      <w:r w:rsidR="00E60A8E">
        <w:t xml:space="preserve">, as shown </w:t>
      </w:r>
      <w:r w:rsidR="00F44DEF">
        <w:t xml:space="preserve">in </w:t>
      </w:r>
      <w:r w:rsidR="001F4F1F">
        <w:t>Column N</w:t>
      </w:r>
      <w:r w:rsidR="00700496">
        <w:t>,</w:t>
      </w:r>
      <w:r w:rsidR="001F4F1F">
        <w:t xml:space="preserve"> Excel rows 32 and 33, </w:t>
      </w:r>
      <w:r w:rsidR="00E60A8E">
        <w:t xml:space="preserve">on Attachment 1E-ADIT True-Up Proration, </w:t>
      </w:r>
      <w:r w:rsidR="00AF46E0">
        <w:t xml:space="preserve">were debits and should have been credits.  These amounts </w:t>
      </w:r>
      <w:r w:rsidR="00806DBC">
        <w:t xml:space="preserve">are used to compare to the </w:t>
      </w:r>
      <w:r w:rsidR="002B22F6">
        <w:t>corre</w:t>
      </w:r>
      <w:r w:rsidR="00241CFC">
        <w:t xml:space="preserve">sponding </w:t>
      </w:r>
      <w:r w:rsidR="00806DBC">
        <w:t>balance at 12/31</w:t>
      </w:r>
      <w:r w:rsidR="00700496">
        <w:t>/</w:t>
      </w:r>
      <w:r w:rsidR="00806DBC">
        <w:t xml:space="preserve">20 to produce the monthly changes </w:t>
      </w:r>
      <w:r w:rsidR="00700496">
        <w:t xml:space="preserve">in ADIT </w:t>
      </w:r>
      <w:r w:rsidR="00806DBC">
        <w:t xml:space="preserve">in Columns </w:t>
      </w:r>
      <w:r w:rsidR="00A5259D">
        <w:t xml:space="preserve">B and </w:t>
      </w:r>
      <w:r w:rsidR="000A7C83">
        <w:t xml:space="preserve">G, Lines 15-26.  These </w:t>
      </w:r>
      <w:r w:rsidR="00700496">
        <w:t xml:space="preserve">three errors </w:t>
      </w:r>
      <w:r w:rsidR="00A5259D">
        <w:t>have been corrected in the revised DP&amp;L Actual 2021 ATRR.</w:t>
      </w:r>
      <w:r w:rsidR="00E60A8E">
        <w:t xml:space="preserve"> </w:t>
      </w:r>
      <w:r w:rsidR="000A7C83">
        <w:t xml:space="preserve"> </w:t>
      </w:r>
      <w:r w:rsidR="00663FD5">
        <w:t xml:space="preserve">Last, </w:t>
      </w:r>
      <w:r w:rsidR="00B24732">
        <w:t xml:space="preserve">as mentioned above, </w:t>
      </w:r>
      <w:r w:rsidR="00663FD5">
        <w:t xml:space="preserve">DP&amp;L has included the CWIP for the Clinton Transformer Project and the South Charleston (Madison) Substation Project in rate base </w:t>
      </w:r>
      <w:r w:rsidR="008A6E3B">
        <w:t xml:space="preserve">during 2021.  Considering these </w:t>
      </w:r>
      <w:r w:rsidR="009F136A">
        <w:t xml:space="preserve">four </w:t>
      </w:r>
      <w:r w:rsidR="008A6E3B">
        <w:t>changes, t</w:t>
      </w:r>
      <w:r w:rsidR="00731C46">
        <w:t xml:space="preserve">he </w:t>
      </w:r>
      <w:r w:rsidR="00BD53BD">
        <w:t xml:space="preserve">actual 2021 </w:t>
      </w:r>
      <w:r w:rsidR="00731C46">
        <w:t xml:space="preserve">ATRR </w:t>
      </w:r>
      <w:r w:rsidR="00C328EF">
        <w:t xml:space="preserve">for the Dayton Zone </w:t>
      </w:r>
      <w:r w:rsidR="00731C46">
        <w:t xml:space="preserve">changed from </w:t>
      </w:r>
      <w:r w:rsidR="00C328EF">
        <w:t>$46,689,969</w:t>
      </w:r>
      <w:r w:rsidR="003B38DD">
        <w:t xml:space="preserve"> to $4</w:t>
      </w:r>
      <w:r w:rsidR="00401873">
        <w:t>7,</w:t>
      </w:r>
      <w:r w:rsidR="006C2F20">
        <w:t>857,326</w:t>
      </w:r>
      <w:r w:rsidR="003B38DD">
        <w:t xml:space="preserve">. </w:t>
      </w:r>
    </w:p>
    <w:p w14:paraId="4CBC4C3C" w14:textId="77777777" w:rsidR="009C75C0" w:rsidRDefault="009C75C0" w:rsidP="00707D8B">
      <w:pPr>
        <w:pStyle w:val="BodyText"/>
        <w:spacing w:line="276" w:lineRule="auto"/>
        <w:ind w:left="119" w:right="683"/>
      </w:pPr>
    </w:p>
    <w:p w14:paraId="24D9332B" w14:textId="3E3F566F" w:rsidR="003B38DD" w:rsidRDefault="009C75C0" w:rsidP="00707D8B">
      <w:pPr>
        <w:pStyle w:val="BodyText"/>
        <w:spacing w:line="276" w:lineRule="auto"/>
        <w:ind w:left="119" w:right="683"/>
      </w:pPr>
      <w:r>
        <w:t xml:space="preserve">Note that DP&amp;L, on </w:t>
      </w:r>
      <w:r w:rsidR="00A00FA4">
        <w:t xml:space="preserve">Line 169 of Appendix A of </w:t>
      </w:r>
      <w:r>
        <w:t xml:space="preserve">the </w:t>
      </w:r>
      <w:r w:rsidR="0039789F">
        <w:t xml:space="preserve">2023 projected formula rate, </w:t>
      </w:r>
      <w:r w:rsidR="00A00FA4">
        <w:t>s</w:t>
      </w:r>
      <w:r w:rsidR="0039789F">
        <w:t>ubtracted the 2021 ATU for the</w:t>
      </w:r>
      <w:r w:rsidR="00C86636">
        <w:t xml:space="preserve"> Marysville Substation and Line Reconductoring Project, excluding interest</w:t>
      </w:r>
      <w:r w:rsidR="00A00FA4">
        <w:t>, and not the amount including interest, as ind</w:t>
      </w:r>
      <w:r w:rsidR="00882870">
        <w:t xml:space="preserve">icated by the formula.  It would not be appropriate to include interest in the amount subtracted as </w:t>
      </w:r>
      <w:r w:rsidR="004864AA">
        <w:t>the interest is not contained in the ATRR value on Line 165.</w:t>
      </w:r>
    </w:p>
    <w:p w14:paraId="21C0E994" w14:textId="36827808" w:rsidR="003B38DD" w:rsidRDefault="003B38DD">
      <w:pPr>
        <w:pStyle w:val="BodyText"/>
        <w:spacing w:line="276" w:lineRule="auto"/>
        <w:ind w:left="119" w:right="683"/>
      </w:pPr>
    </w:p>
    <w:p w14:paraId="0C3A88E1" w14:textId="66584119" w:rsidR="00EA58EB" w:rsidRDefault="00F71A62">
      <w:pPr>
        <w:pStyle w:val="BodyText"/>
        <w:spacing w:line="276" w:lineRule="auto"/>
        <w:ind w:left="119" w:right="683"/>
        <w:rPr>
          <w:color w:val="0000FF"/>
          <w:u w:val="single" w:color="0000FF"/>
        </w:rPr>
      </w:pPr>
      <w:r>
        <w:t xml:space="preserve">Regarding </w:t>
      </w:r>
      <w:r w:rsidR="00EA58EB">
        <w:t xml:space="preserve">the above items, the following Excel files have been </w:t>
      </w:r>
      <w:r>
        <w:t xml:space="preserve">posted along with this document on </w:t>
      </w:r>
      <w:hyperlink r:id="rId9" w:history="1">
        <w:r w:rsidR="00EA58EB" w:rsidRPr="004050F3">
          <w:rPr>
            <w:rStyle w:val="Hyperlink"/>
          </w:rPr>
          <w:t>www.pjm.com:</w:t>
        </w:r>
      </w:hyperlink>
    </w:p>
    <w:p w14:paraId="6FCF9680" w14:textId="649AB96A" w:rsidR="00C55AEF" w:rsidRDefault="00C55AEF">
      <w:pPr>
        <w:pStyle w:val="BodyText"/>
        <w:spacing w:line="276" w:lineRule="auto"/>
        <w:ind w:left="119" w:right="683"/>
      </w:pPr>
    </w:p>
    <w:p w14:paraId="28E20A94" w14:textId="77777777" w:rsidR="00D86957" w:rsidRDefault="00D86957" w:rsidP="00D86957">
      <w:pPr>
        <w:pStyle w:val="BodyText"/>
        <w:numPr>
          <w:ilvl w:val="0"/>
          <w:numId w:val="5"/>
        </w:numPr>
        <w:spacing w:line="276" w:lineRule="auto"/>
        <w:ind w:right="683"/>
      </w:pPr>
      <w:r>
        <w:t>“Attachment A 2023 Formula Rate Projection”;</w:t>
      </w:r>
    </w:p>
    <w:p w14:paraId="02BCA483" w14:textId="77777777" w:rsidR="00D86957" w:rsidRDefault="00D86957" w:rsidP="00D86957">
      <w:pPr>
        <w:pStyle w:val="BodyText"/>
        <w:numPr>
          <w:ilvl w:val="0"/>
          <w:numId w:val="5"/>
        </w:numPr>
        <w:spacing w:line="276" w:lineRule="auto"/>
        <w:ind w:right="683"/>
      </w:pPr>
      <w:r>
        <w:t>“Attachment B Corrected 2021 Annual True-Up”; and</w:t>
      </w:r>
    </w:p>
    <w:p w14:paraId="19FFF9C7" w14:textId="77777777" w:rsidR="00D86957" w:rsidRDefault="00D86957" w:rsidP="00D86957">
      <w:pPr>
        <w:pStyle w:val="BodyText"/>
        <w:numPr>
          <w:ilvl w:val="0"/>
          <w:numId w:val="5"/>
        </w:numPr>
        <w:spacing w:line="276" w:lineRule="auto"/>
        <w:ind w:right="683"/>
      </w:pPr>
      <w:r>
        <w:t xml:space="preserve">“Attachment C CWIP Incentive Worksheet.”  </w:t>
      </w:r>
    </w:p>
    <w:p w14:paraId="5EF94FDF" w14:textId="0DCEAFBD" w:rsidR="00EB3F2D" w:rsidRDefault="00EB3F2D">
      <w:pPr>
        <w:pStyle w:val="BodyText"/>
        <w:spacing w:line="276" w:lineRule="auto"/>
        <w:ind w:left="119" w:right="683"/>
      </w:pPr>
    </w:p>
    <w:p w14:paraId="1D79F4EE" w14:textId="77777777" w:rsidR="00EB3F2D" w:rsidRDefault="00EB3F2D">
      <w:pPr>
        <w:pStyle w:val="BodyText"/>
        <w:spacing w:before="9"/>
        <w:rPr>
          <w:sz w:val="19"/>
        </w:rPr>
      </w:pPr>
    </w:p>
    <w:sectPr w:rsidR="00EB3F2D" w:rsidSect="00102192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1F6"/>
    <w:multiLevelType w:val="hybridMultilevel"/>
    <w:tmpl w:val="ACC82886"/>
    <w:lvl w:ilvl="0" w:tplc="2126FEFA">
      <w:start w:val="1"/>
      <w:numFmt w:val="lowerRoman"/>
      <w:lvlText w:val="(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7ECF45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3A924FB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36AEDE8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95FC675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34B6755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72A368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DF84DB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E0466FB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4C07F8"/>
    <w:multiLevelType w:val="hybridMultilevel"/>
    <w:tmpl w:val="D58A8CBC"/>
    <w:lvl w:ilvl="0" w:tplc="C096E4F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CE54050"/>
    <w:multiLevelType w:val="hybridMultilevel"/>
    <w:tmpl w:val="EDEAAFC4"/>
    <w:lvl w:ilvl="0" w:tplc="60D65558">
      <w:start w:val="1"/>
      <w:numFmt w:val="lowerRoman"/>
      <w:lvlText w:val="(%1)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9D00590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2" w:tplc="A28E980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428A2304">
      <w:numFmt w:val="bullet"/>
      <w:lvlText w:val="•"/>
      <w:lvlJc w:val="left"/>
      <w:pPr>
        <w:ind w:left="3972" w:hanging="720"/>
      </w:pPr>
      <w:rPr>
        <w:rFonts w:hint="default"/>
        <w:lang w:val="en-US" w:eastAsia="en-US" w:bidi="ar-SA"/>
      </w:rPr>
    </w:lvl>
    <w:lvl w:ilvl="4" w:tplc="9A9AAF0C">
      <w:numFmt w:val="bullet"/>
      <w:lvlText w:val="•"/>
      <w:lvlJc w:val="left"/>
      <w:pPr>
        <w:ind w:left="4776" w:hanging="720"/>
      </w:pPr>
      <w:rPr>
        <w:rFonts w:hint="default"/>
        <w:lang w:val="en-US" w:eastAsia="en-US" w:bidi="ar-SA"/>
      </w:rPr>
    </w:lvl>
    <w:lvl w:ilvl="5" w:tplc="CEC03F04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 w:tplc="F092B166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7" w:tplc="374CF00C"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  <w:lvl w:ilvl="8" w:tplc="7FD20236"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B965C8D"/>
    <w:multiLevelType w:val="hybridMultilevel"/>
    <w:tmpl w:val="B34269AE"/>
    <w:lvl w:ilvl="0" w:tplc="BD3C195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A80D3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BD38925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E9F6393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74FA0A7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DFC376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B52829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D55EF10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253E12B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 w16cid:durableId="649598569">
    <w:abstractNumId w:val="3"/>
  </w:num>
  <w:num w:numId="2" w16cid:durableId="1203441006">
    <w:abstractNumId w:val="2"/>
  </w:num>
  <w:num w:numId="3" w16cid:durableId="1036395191">
    <w:abstractNumId w:val="0"/>
  </w:num>
  <w:num w:numId="4" w16cid:durableId="91633863">
    <w:abstractNumId w:val="1"/>
  </w:num>
  <w:num w:numId="5" w16cid:durableId="1466317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2D"/>
    <w:rsid w:val="00011E01"/>
    <w:rsid w:val="00063C1E"/>
    <w:rsid w:val="00094B1E"/>
    <w:rsid w:val="000A7C83"/>
    <w:rsid w:val="000C6973"/>
    <w:rsid w:val="000E10B2"/>
    <w:rsid w:val="000E6CFF"/>
    <w:rsid w:val="00102192"/>
    <w:rsid w:val="00123B2F"/>
    <w:rsid w:val="0015100E"/>
    <w:rsid w:val="00152DFC"/>
    <w:rsid w:val="00187AE4"/>
    <w:rsid w:val="0019135B"/>
    <w:rsid w:val="00193F45"/>
    <w:rsid w:val="001955E3"/>
    <w:rsid w:val="001F4F1F"/>
    <w:rsid w:val="002109CB"/>
    <w:rsid w:val="00241CFC"/>
    <w:rsid w:val="00243CD9"/>
    <w:rsid w:val="00276716"/>
    <w:rsid w:val="0028172D"/>
    <w:rsid w:val="002910E2"/>
    <w:rsid w:val="002963D7"/>
    <w:rsid w:val="002B22F6"/>
    <w:rsid w:val="002F45BE"/>
    <w:rsid w:val="00351AE2"/>
    <w:rsid w:val="00370D71"/>
    <w:rsid w:val="0039789F"/>
    <w:rsid w:val="003A7551"/>
    <w:rsid w:val="003B2515"/>
    <w:rsid w:val="003B38DD"/>
    <w:rsid w:val="003E0005"/>
    <w:rsid w:val="003E25EF"/>
    <w:rsid w:val="00401873"/>
    <w:rsid w:val="00430F14"/>
    <w:rsid w:val="00463BBC"/>
    <w:rsid w:val="00465302"/>
    <w:rsid w:val="004864AA"/>
    <w:rsid w:val="004908C4"/>
    <w:rsid w:val="004A36F8"/>
    <w:rsid w:val="004C0DB2"/>
    <w:rsid w:val="004D6BA8"/>
    <w:rsid w:val="004E3456"/>
    <w:rsid w:val="00507E85"/>
    <w:rsid w:val="00524B98"/>
    <w:rsid w:val="0056255B"/>
    <w:rsid w:val="00565BF1"/>
    <w:rsid w:val="00567850"/>
    <w:rsid w:val="0059465F"/>
    <w:rsid w:val="005B5354"/>
    <w:rsid w:val="005B6385"/>
    <w:rsid w:val="005D025A"/>
    <w:rsid w:val="005E339F"/>
    <w:rsid w:val="00635CBE"/>
    <w:rsid w:val="0064686A"/>
    <w:rsid w:val="00661DCA"/>
    <w:rsid w:val="00663FD5"/>
    <w:rsid w:val="00696050"/>
    <w:rsid w:val="006C2F20"/>
    <w:rsid w:val="006E6BAB"/>
    <w:rsid w:val="00700496"/>
    <w:rsid w:val="00707D8B"/>
    <w:rsid w:val="007102F8"/>
    <w:rsid w:val="00731C46"/>
    <w:rsid w:val="00742418"/>
    <w:rsid w:val="00760933"/>
    <w:rsid w:val="00777270"/>
    <w:rsid w:val="007A6539"/>
    <w:rsid w:val="007C56AE"/>
    <w:rsid w:val="00806DBC"/>
    <w:rsid w:val="0082781F"/>
    <w:rsid w:val="00834226"/>
    <w:rsid w:val="00842BD9"/>
    <w:rsid w:val="00871FED"/>
    <w:rsid w:val="00882870"/>
    <w:rsid w:val="008A3782"/>
    <w:rsid w:val="008A6E3B"/>
    <w:rsid w:val="008F3376"/>
    <w:rsid w:val="008F3818"/>
    <w:rsid w:val="00937DF7"/>
    <w:rsid w:val="00940B6C"/>
    <w:rsid w:val="009C682E"/>
    <w:rsid w:val="009C75C0"/>
    <w:rsid w:val="009F136A"/>
    <w:rsid w:val="009F16CB"/>
    <w:rsid w:val="009F4D2A"/>
    <w:rsid w:val="009F7ADD"/>
    <w:rsid w:val="00A00FA4"/>
    <w:rsid w:val="00A25089"/>
    <w:rsid w:val="00A5046E"/>
    <w:rsid w:val="00A5259D"/>
    <w:rsid w:val="00A80335"/>
    <w:rsid w:val="00A878B7"/>
    <w:rsid w:val="00A9204B"/>
    <w:rsid w:val="00AB0131"/>
    <w:rsid w:val="00AC0BC5"/>
    <w:rsid w:val="00AC6996"/>
    <w:rsid w:val="00AE70AA"/>
    <w:rsid w:val="00AF2953"/>
    <w:rsid w:val="00AF46E0"/>
    <w:rsid w:val="00B01F71"/>
    <w:rsid w:val="00B03E1E"/>
    <w:rsid w:val="00B24732"/>
    <w:rsid w:val="00B62B62"/>
    <w:rsid w:val="00B67C4C"/>
    <w:rsid w:val="00B81CFE"/>
    <w:rsid w:val="00B84FF0"/>
    <w:rsid w:val="00B92162"/>
    <w:rsid w:val="00B976BF"/>
    <w:rsid w:val="00BD53BD"/>
    <w:rsid w:val="00C328EF"/>
    <w:rsid w:val="00C40085"/>
    <w:rsid w:val="00C55AEF"/>
    <w:rsid w:val="00C738E9"/>
    <w:rsid w:val="00C86636"/>
    <w:rsid w:val="00C953D3"/>
    <w:rsid w:val="00CA1950"/>
    <w:rsid w:val="00CC3FF1"/>
    <w:rsid w:val="00CD33C8"/>
    <w:rsid w:val="00D650E2"/>
    <w:rsid w:val="00D86957"/>
    <w:rsid w:val="00DD0336"/>
    <w:rsid w:val="00DD11BB"/>
    <w:rsid w:val="00E17362"/>
    <w:rsid w:val="00E40430"/>
    <w:rsid w:val="00E60A8E"/>
    <w:rsid w:val="00E64E1E"/>
    <w:rsid w:val="00EA58EB"/>
    <w:rsid w:val="00EB3F2D"/>
    <w:rsid w:val="00EC665C"/>
    <w:rsid w:val="00ED4EF1"/>
    <w:rsid w:val="00F014E4"/>
    <w:rsid w:val="00F1638C"/>
    <w:rsid w:val="00F25522"/>
    <w:rsid w:val="00F44DEF"/>
    <w:rsid w:val="00F53EA9"/>
    <w:rsid w:val="00F71A62"/>
    <w:rsid w:val="00F744D1"/>
    <w:rsid w:val="00F916F9"/>
    <w:rsid w:val="00F97008"/>
    <w:rsid w:val="00FB7729"/>
    <w:rsid w:val="00F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00F3"/>
  <w15:docId w15:val="{830D053C-A34E-4C4D-89AC-758AB76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right="1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3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0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9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9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7DF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A58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8E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869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m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jm.com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68F33918A864586453495507E48EC" ma:contentTypeVersion="6" ma:contentTypeDescription="Create a new document." ma:contentTypeScope="" ma:versionID="0e3e39a7abebbe483d3542e5aad56875">
  <xsd:schema xmlns:xsd="http://www.w3.org/2001/XMLSchema" xmlns:xs="http://www.w3.org/2001/XMLSchema" xmlns:p="http://schemas.microsoft.com/office/2006/metadata/properties" xmlns:ns2="105a3813-a66c-4ab3-a28a-39e52728d7ee" xmlns:ns3="2ebaaeb8-4f79-42c6-8194-1050aaa831e5" targetNamespace="http://schemas.microsoft.com/office/2006/metadata/properties" ma:root="true" ma:fieldsID="a467847777c11fc78af8a777e9b7e606" ns2:_="" ns3:_="">
    <xsd:import namespace="105a3813-a66c-4ab3-a28a-39e52728d7ee"/>
    <xsd:import namespace="2ebaaeb8-4f79-42c6-8194-1050aaa83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a3813-a66c-4ab3-a28a-39e52728d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aaeb8-4f79-42c6-8194-1050aaa83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6A192-2A42-4516-B10E-0DB72A4E5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ABD251-98E0-44CE-A53E-6786A7DFE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9F44-730C-409C-9123-C4BD97425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a3813-a66c-4ab3-a28a-39e52728d7ee"/>
    <ds:schemaRef ds:uri="2ebaaeb8-4f79-42c6-8194-1050aaa83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DPL, Inc.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E Kellie</dc:creator>
  <cp:lastModifiedBy>Sarah Howdeshelt</cp:lastModifiedBy>
  <cp:revision>12</cp:revision>
  <dcterms:created xsi:type="dcterms:W3CDTF">2022-10-03T16:41:00Z</dcterms:created>
  <dcterms:modified xsi:type="dcterms:W3CDTF">2022-10-03T18:09:00Z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2020-12-14T00:00:00Z</vt:filetime>
  </property>
  <property fmtid="{D5CDD505-2E9C-101B-9397-08002B2CF9AE}" pid="5" name="ContentTypeId">
    <vt:lpwstr>0x01010080968F33918A864586453495507E48EC</vt:lpwstr>
  </property>
</Properties>
</file>