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DE4C" w14:textId="77777777" w:rsidR="00BA41E5" w:rsidRDefault="00BA41E5" w:rsidP="00BA41E5">
      <w:pPr>
        <w:spacing w:line="264" w:lineRule="auto"/>
      </w:pPr>
      <w:r>
        <w:rPr>
          <w:noProof/>
        </w:rPr>
        <w:drawing>
          <wp:inline distT="0" distB="0" distL="0" distR="0" wp14:anchorId="59DB79EC" wp14:editId="53E13830">
            <wp:extent cx="1581150" cy="742950"/>
            <wp:effectExtent l="0" t="0" r="0" b="0"/>
            <wp:docPr id="2" name="Picture 2" descr="Description: Description: AES_logo_with_tagline_RGB"/>
            <wp:cNvGraphicFramePr/>
            <a:graphic xmlns:a="http://schemas.openxmlformats.org/drawingml/2006/main">
              <a:graphicData uri="http://schemas.openxmlformats.org/drawingml/2006/picture">
                <pic:pic xmlns:pic="http://schemas.openxmlformats.org/drawingml/2006/picture">
                  <pic:nvPicPr>
                    <pic:cNvPr id="2" name="Picture 2" descr="Description: Description: AES_logo_with_tagline_RGB"/>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p>
    <w:p w14:paraId="2D99B9B7" w14:textId="77777777" w:rsidR="00BA41E5" w:rsidRDefault="00BA41E5" w:rsidP="00BA41E5">
      <w:pPr>
        <w:spacing w:line="264" w:lineRule="auto"/>
        <w:jc w:val="center"/>
      </w:pPr>
    </w:p>
    <w:p w14:paraId="7D766C7B" w14:textId="0D48105E" w:rsidR="00BA41E5" w:rsidRPr="007E564E" w:rsidRDefault="00BA41E5" w:rsidP="00BA41E5">
      <w:pPr>
        <w:spacing w:line="264" w:lineRule="auto"/>
        <w:jc w:val="center"/>
      </w:pPr>
      <w:r w:rsidRPr="007E564E">
        <w:t>June 15, 202</w:t>
      </w:r>
      <w:r w:rsidR="0034757F">
        <w:t>2</w:t>
      </w:r>
    </w:p>
    <w:p w14:paraId="432CA411" w14:textId="77777777" w:rsidR="00BA41E5" w:rsidRPr="007E564E" w:rsidRDefault="00BA41E5" w:rsidP="00BA41E5">
      <w:pPr>
        <w:spacing w:line="264" w:lineRule="auto"/>
      </w:pPr>
    </w:p>
    <w:p w14:paraId="229F03E8" w14:textId="77777777" w:rsidR="00BA41E5" w:rsidRPr="007E564E" w:rsidRDefault="00BA41E5" w:rsidP="00BA41E5">
      <w:pPr>
        <w:pStyle w:val="Default"/>
      </w:pPr>
    </w:p>
    <w:p w14:paraId="4965AC0E" w14:textId="77777777" w:rsidR="00BA41E5" w:rsidRPr="007E564E" w:rsidRDefault="00BA41E5" w:rsidP="00BA41E5">
      <w:pPr>
        <w:pStyle w:val="Default"/>
        <w:rPr>
          <w:b/>
          <w:bCs/>
          <w:u w:val="single"/>
        </w:rPr>
      </w:pPr>
      <w:r w:rsidRPr="007E564E">
        <w:rPr>
          <w:b/>
          <w:bCs/>
          <w:u w:val="single"/>
        </w:rPr>
        <w:t xml:space="preserve">Via </w:t>
      </w:r>
      <w:proofErr w:type="spellStart"/>
      <w:r w:rsidRPr="007E564E">
        <w:rPr>
          <w:b/>
          <w:bCs/>
          <w:u w:val="single"/>
        </w:rPr>
        <w:t>eLibrary</w:t>
      </w:r>
      <w:proofErr w:type="spellEnd"/>
    </w:p>
    <w:p w14:paraId="5C866795" w14:textId="77777777" w:rsidR="00BA41E5" w:rsidRPr="007E564E" w:rsidRDefault="00BA41E5" w:rsidP="00BA41E5">
      <w:pPr>
        <w:pStyle w:val="Default"/>
        <w:rPr>
          <w:u w:val="single"/>
        </w:rPr>
      </w:pPr>
    </w:p>
    <w:p w14:paraId="2B409872" w14:textId="77777777" w:rsidR="00BA41E5" w:rsidRPr="007E564E" w:rsidRDefault="00BA41E5" w:rsidP="00BA41E5">
      <w:pPr>
        <w:pStyle w:val="Default"/>
      </w:pPr>
      <w:r w:rsidRPr="007E564E">
        <w:t xml:space="preserve">The Honorable Kimberly D. Bose </w:t>
      </w:r>
    </w:p>
    <w:p w14:paraId="682514AB" w14:textId="77777777" w:rsidR="00BA41E5" w:rsidRPr="007E564E" w:rsidRDefault="00BA41E5" w:rsidP="00BA41E5">
      <w:pPr>
        <w:pStyle w:val="Default"/>
      </w:pPr>
      <w:r w:rsidRPr="007E564E">
        <w:t xml:space="preserve">Secretary </w:t>
      </w:r>
    </w:p>
    <w:p w14:paraId="7196DA5B" w14:textId="77777777" w:rsidR="00BA41E5" w:rsidRPr="007E564E" w:rsidRDefault="00BA41E5" w:rsidP="00BA41E5">
      <w:pPr>
        <w:pStyle w:val="Default"/>
      </w:pPr>
      <w:r w:rsidRPr="007E564E">
        <w:t xml:space="preserve">Federal Energy Regulatory Commission </w:t>
      </w:r>
    </w:p>
    <w:p w14:paraId="4343C706" w14:textId="77777777" w:rsidR="00BA41E5" w:rsidRPr="007E564E" w:rsidRDefault="00BA41E5" w:rsidP="00BA41E5">
      <w:pPr>
        <w:pStyle w:val="Default"/>
      </w:pPr>
      <w:r w:rsidRPr="007E564E">
        <w:t xml:space="preserve">888 First Street, N.E. </w:t>
      </w:r>
    </w:p>
    <w:p w14:paraId="1A3715A9" w14:textId="77777777" w:rsidR="00BA41E5" w:rsidRPr="007E564E" w:rsidRDefault="00BA41E5" w:rsidP="00BA41E5">
      <w:pPr>
        <w:pStyle w:val="Default"/>
      </w:pPr>
      <w:r w:rsidRPr="007E564E">
        <w:t xml:space="preserve">Washington, D.C. 20426 </w:t>
      </w:r>
    </w:p>
    <w:p w14:paraId="4E46BE20" w14:textId="77777777" w:rsidR="00BA41E5" w:rsidRPr="007E564E" w:rsidRDefault="00BA41E5" w:rsidP="00BA41E5">
      <w:pPr>
        <w:pStyle w:val="Default"/>
      </w:pPr>
    </w:p>
    <w:p w14:paraId="0AF8A147" w14:textId="0B25EAF0" w:rsidR="00BA41E5" w:rsidRPr="007E564E" w:rsidRDefault="00BA41E5" w:rsidP="00EA771B">
      <w:pPr>
        <w:pStyle w:val="Default"/>
        <w:ind w:left="2160"/>
      </w:pPr>
      <w:r w:rsidRPr="007E564E">
        <w:t xml:space="preserve">Re: </w:t>
      </w:r>
      <w:r w:rsidR="00EA771B">
        <w:tab/>
      </w:r>
      <w:r w:rsidRPr="007E564E">
        <w:t xml:space="preserve">Informational Filing </w:t>
      </w:r>
    </w:p>
    <w:p w14:paraId="7F4FD77D" w14:textId="77777777" w:rsidR="00BA41E5" w:rsidRPr="007E564E" w:rsidRDefault="00BA41E5" w:rsidP="00EA771B">
      <w:pPr>
        <w:pStyle w:val="Default"/>
        <w:ind w:left="2160" w:firstLine="720"/>
      </w:pPr>
      <w:r w:rsidRPr="007E564E">
        <w:t xml:space="preserve">The Dayton Power and Light Company d/b/a AES Ohio </w:t>
      </w:r>
    </w:p>
    <w:p w14:paraId="350AC72E" w14:textId="4AFAB42D" w:rsidR="00BA41E5" w:rsidRPr="007E564E" w:rsidRDefault="0034757F" w:rsidP="00A654A7">
      <w:pPr>
        <w:pStyle w:val="Default"/>
        <w:ind w:left="2880"/>
      </w:pPr>
      <w:r>
        <w:t xml:space="preserve">Actual </w:t>
      </w:r>
      <w:r w:rsidR="00BA41E5" w:rsidRPr="007E564E">
        <w:t xml:space="preserve">Annual Transmission </w:t>
      </w:r>
      <w:r w:rsidR="00A654A7">
        <w:t xml:space="preserve">Revenue Requirement and </w:t>
      </w:r>
      <w:r w:rsidR="00BA41E5" w:rsidRPr="007E564E">
        <w:t>True-Up Adjustment</w:t>
      </w:r>
      <w:r w:rsidR="00A654A7">
        <w:t xml:space="preserve"> for 2021</w:t>
      </w:r>
      <w:r w:rsidR="00BA41E5" w:rsidRPr="007E564E">
        <w:t xml:space="preserve"> </w:t>
      </w:r>
    </w:p>
    <w:p w14:paraId="7987F16B" w14:textId="77777777" w:rsidR="00BA41E5" w:rsidRPr="007E564E" w:rsidRDefault="00BA41E5" w:rsidP="00EA771B">
      <w:pPr>
        <w:pStyle w:val="Default"/>
        <w:ind w:left="2160" w:firstLine="720"/>
      </w:pPr>
      <w:r w:rsidRPr="007E564E">
        <w:t>Docket No. ER20-1150-000</w:t>
      </w:r>
    </w:p>
    <w:p w14:paraId="6F45A189" w14:textId="77777777" w:rsidR="00BA41E5" w:rsidRPr="007E564E" w:rsidRDefault="00BA41E5" w:rsidP="00BA41E5">
      <w:pPr>
        <w:pStyle w:val="Default"/>
      </w:pPr>
      <w:r w:rsidRPr="007E564E">
        <w:t xml:space="preserve"> </w:t>
      </w:r>
    </w:p>
    <w:p w14:paraId="5D52F4C9" w14:textId="77777777" w:rsidR="00BA41E5" w:rsidRPr="007E564E" w:rsidRDefault="00BA41E5" w:rsidP="00BA41E5">
      <w:pPr>
        <w:pStyle w:val="Default"/>
      </w:pPr>
      <w:r w:rsidRPr="007E564E">
        <w:t xml:space="preserve">Dear Secretary Bose: </w:t>
      </w:r>
    </w:p>
    <w:p w14:paraId="5285B223" w14:textId="77777777" w:rsidR="00BA41E5" w:rsidRPr="007E564E" w:rsidRDefault="00BA41E5" w:rsidP="00BA41E5">
      <w:pPr>
        <w:pStyle w:val="Default"/>
      </w:pPr>
    </w:p>
    <w:p w14:paraId="6E0FD0DD" w14:textId="24983F08" w:rsidR="00BA41E5" w:rsidRDefault="00BA41E5" w:rsidP="00BA41E5">
      <w:pPr>
        <w:pStyle w:val="Default"/>
        <w:ind w:firstLine="720"/>
      </w:pPr>
      <w:r w:rsidRPr="007E564E">
        <w:t xml:space="preserve">The Dayton Power and Light Company d/b/a AES Ohio (“AES Ohio” or “Company”) hereby submits for informational purposes its </w:t>
      </w:r>
      <w:r w:rsidR="00FD1AAA">
        <w:t xml:space="preserve">actual </w:t>
      </w:r>
      <w:r w:rsidRPr="007E564E">
        <w:t xml:space="preserve">annual </w:t>
      </w:r>
      <w:r w:rsidR="00FD1AAA">
        <w:t xml:space="preserve">transmission revenue requirement (“ATRR”) and </w:t>
      </w:r>
      <w:r w:rsidRPr="007E564E">
        <w:t>true-up adjustment (“</w:t>
      </w:r>
      <w:r>
        <w:t>Annual True-Up</w:t>
      </w:r>
      <w:r w:rsidRPr="007E564E">
        <w:t>”</w:t>
      </w:r>
      <w:r>
        <w:t xml:space="preserve"> or “ATU”</w:t>
      </w:r>
      <w:r w:rsidRPr="007E564E">
        <w:t xml:space="preserve">) </w:t>
      </w:r>
      <w:r w:rsidR="00FD1901">
        <w:t xml:space="preserve">for 2021 </w:t>
      </w:r>
      <w:r w:rsidRPr="007E564E">
        <w:t>for its transmission formula rate in accordance with its Formula Rate Implementation Protocols (“Protocols”) set forth in Attachment H-15B of the Open Access Transmission Tariff (“OATT”) of PJM Interconnection, L.L.C. (“PJM”).</w:t>
      </w:r>
      <w:r>
        <w:rPr>
          <w:rStyle w:val="FootnoteReference"/>
        </w:rPr>
        <w:footnoteReference w:id="1"/>
      </w:r>
      <w:r w:rsidRPr="007E564E">
        <w:t xml:space="preserve">  This is filed with the Federal Energy Regulatory Commission (“Commission”)  </w:t>
      </w:r>
      <w:r w:rsidR="00A37931">
        <w:t xml:space="preserve">in accordance with Section 3.b. of the Protocols, which requires AES Ohio to </w:t>
      </w:r>
      <w:r w:rsidR="00A37931" w:rsidRPr="007E564E">
        <w:t xml:space="preserve">calculate </w:t>
      </w:r>
      <w:r w:rsidR="00A37931">
        <w:t xml:space="preserve">annually </w:t>
      </w:r>
      <w:r w:rsidR="00A37931" w:rsidRPr="007E564E">
        <w:t>the true-up of its form</w:t>
      </w:r>
      <w:r w:rsidR="00A37931">
        <w:t>ula rate on or before June 15</w:t>
      </w:r>
      <w:r w:rsidR="00A37931" w:rsidRPr="00A37931">
        <w:rPr>
          <w:vertAlign w:val="superscript"/>
        </w:rPr>
        <w:t>th</w:t>
      </w:r>
      <w:r w:rsidR="00A37931">
        <w:t xml:space="preserve"> and further provides that </w:t>
      </w:r>
      <w:r w:rsidRPr="007E564E">
        <w:t>this</w:t>
      </w:r>
      <w:r w:rsidR="00A37931">
        <w:t xml:space="preserve"> be filed with the Commission as an</w:t>
      </w:r>
      <w:r w:rsidRPr="007E564E">
        <w:t xml:space="preserve"> </w:t>
      </w:r>
      <w:r w:rsidR="00137AF9">
        <w:t xml:space="preserve">informational filing </w:t>
      </w:r>
      <w:r w:rsidR="00A37931">
        <w:t xml:space="preserve">that </w:t>
      </w:r>
      <w:r w:rsidRPr="007E564E">
        <w:t>does not require any Commission action</w:t>
      </w:r>
      <w:r w:rsidR="00A37931">
        <w:t>.</w:t>
      </w:r>
      <w:r>
        <w:t xml:space="preserve"> </w:t>
      </w:r>
    </w:p>
    <w:p w14:paraId="6FCC9A8E" w14:textId="77777777" w:rsidR="00BA41E5" w:rsidRDefault="00BA41E5" w:rsidP="00BA41E5">
      <w:pPr>
        <w:pStyle w:val="Default"/>
        <w:ind w:firstLine="720"/>
      </w:pPr>
    </w:p>
    <w:p w14:paraId="1B833FDF" w14:textId="20B8CA16" w:rsidR="00BA41E5" w:rsidRDefault="00BA41E5" w:rsidP="00BA41E5">
      <w:pPr>
        <w:spacing w:line="264" w:lineRule="auto"/>
        <w:ind w:firstLine="720"/>
      </w:pPr>
      <w:r>
        <w:t xml:space="preserve">This Informational filing includes </w:t>
      </w:r>
      <w:r w:rsidR="009B7CBA">
        <w:t xml:space="preserve">three </w:t>
      </w:r>
      <w:r>
        <w:t xml:space="preserve">attachments.  </w:t>
      </w:r>
    </w:p>
    <w:p w14:paraId="1535FFB1" w14:textId="77777777" w:rsidR="00BA41E5" w:rsidRDefault="00BA41E5" w:rsidP="00BA41E5">
      <w:pPr>
        <w:spacing w:line="264" w:lineRule="auto"/>
        <w:ind w:firstLine="720"/>
      </w:pPr>
    </w:p>
    <w:p w14:paraId="539EED2F" w14:textId="0C0BD265" w:rsidR="00BA41E5" w:rsidRDefault="00BA41E5" w:rsidP="00BA41E5">
      <w:pPr>
        <w:spacing w:line="264" w:lineRule="auto"/>
        <w:ind w:firstLine="720"/>
      </w:pPr>
      <w:r>
        <w:t>Attachment A is provided for informational purposes as a reference to explain the handful of places where there are data from the AES Ohio 202</w:t>
      </w:r>
      <w:r w:rsidR="005D5791">
        <w:t>1</w:t>
      </w:r>
      <w:r>
        <w:t xml:space="preserve"> FERC Form 1 filed this year that </w:t>
      </w:r>
      <w:r>
        <w:t xml:space="preserve">are excluded or partially included or otherwise different from that reflected in the </w:t>
      </w:r>
      <w:r w:rsidR="009B7CBA">
        <w:t>ATRR</w:t>
      </w:r>
      <w:r>
        <w:t xml:space="preserve"> </w:t>
      </w:r>
      <w:r>
        <w:t xml:space="preserve">computations.  Attachment A further notes that there are instances in the attached </w:t>
      </w:r>
      <w:r w:rsidR="005D5791">
        <w:t>ATRR</w:t>
      </w:r>
      <w:r>
        <w:t xml:space="preserve"> </w:t>
      </w:r>
      <w:r>
        <w:lastRenderedPageBreak/>
        <w:t>computations where cross-references to the 202</w:t>
      </w:r>
      <w:r w:rsidR="005D5791">
        <w:t>1</w:t>
      </w:r>
      <w:r>
        <w:t xml:space="preserve"> FERC Form 1 are different from the cross-</w:t>
      </w:r>
      <w:r>
        <w:t xml:space="preserve">reference notes in the as-filed formula rates.  These differences are </w:t>
      </w:r>
      <w:r w:rsidR="00EA771B">
        <w:t>noted in a different colored font</w:t>
      </w:r>
      <w:r>
        <w:t xml:space="preserve">  </w:t>
      </w:r>
    </w:p>
    <w:p w14:paraId="12FE13A5" w14:textId="77777777" w:rsidR="00BA41E5" w:rsidRDefault="00BA41E5" w:rsidP="00BA41E5">
      <w:pPr>
        <w:spacing w:line="264" w:lineRule="auto"/>
      </w:pPr>
    </w:p>
    <w:p w14:paraId="77985DFA" w14:textId="47BE782E" w:rsidR="00556E1D" w:rsidRDefault="00BA41E5" w:rsidP="00556E1D">
      <w:pPr>
        <w:pStyle w:val="Default"/>
        <w:ind w:firstLine="720"/>
      </w:pPr>
      <w:r>
        <w:t xml:space="preserve">Attachment B is an Excel spreadsheet that summarizes the </w:t>
      </w:r>
      <w:r w:rsidR="0090259C">
        <w:t xml:space="preserve">ATRR </w:t>
      </w:r>
      <w:r>
        <w:t xml:space="preserve">computations.  </w:t>
      </w:r>
      <w:r w:rsidR="00556E1D">
        <w:t>The actual ATRR for 2021 is $</w:t>
      </w:r>
      <w:r w:rsidR="009B7CBA">
        <w:t>46,689,969</w:t>
      </w:r>
      <w:r w:rsidR="00556E1D">
        <w:t>.  Comparing this amount to the projected ATRR for 2021 of $57,309,745</w:t>
      </w:r>
      <w:r w:rsidR="009B7CBA">
        <w:rPr>
          <w:rStyle w:val="FootnoteReference"/>
        </w:rPr>
        <w:footnoteReference w:id="2"/>
      </w:r>
      <w:r w:rsidR="00556E1D">
        <w:t xml:space="preserve"> results in a NITS ATU of $(</w:t>
      </w:r>
      <w:r w:rsidR="009B7CBA">
        <w:t>10,619,776</w:t>
      </w:r>
      <w:r w:rsidR="00556E1D">
        <w:t>), excluding interest.  In accordance with the Protocols, th</w:t>
      </w:r>
      <w:r w:rsidR="00E6377D">
        <w:t>is</w:t>
      </w:r>
      <w:r w:rsidR="00556E1D">
        <w:t xml:space="preserve"> ATU will be reflected in transmission rates beginning January 1, 2023, along with the projected 2023 costs used to compute the 2023 </w:t>
      </w:r>
      <w:r w:rsidR="00556E1D">
        <w:t xml:space="preserve">annual transmission revenue requirement, which will be posted on or before October 1, 2022.  The October posting will also include interest on the 2021 ATU, calculated using the FERC interest rate, on the 2021 ATU amounts.  </w:t>
      </w:r>
    </w:p>
    <w:p w14:paraId="3844662D" w14:textId="2B5A31DD" w:rsidR="00BA41E5" w:rsidRDefault="00BA41E5" w:rsidP="00BA41E5">
      <w:pPr>
        <w:spacing w:line="264" w:lineRule="auto"/>
        <w:ind w:firstLine="720"/>
      </w:pPr>
    </w:p>
    <w:p w14:paraId="07C3F47F" w14:textId="77777777" w:rsidR="006E5141" w:rsidRDefault="006E5141" w:rsidP="006E5141">
      <w:pPr>
        <w:spacing w:line="264" w:lineRule="auto"/>
        <w:ind w:firstLine="720"/>
      </w:pPr>
      <w:r>
        <w:t xml:space="preserve">Attachment C is an Excel spreadsheet showing the status of transmission projects that have been granted the Construction Work in Progress (“CWIP”) incentive.  </w:t>
      </w:r>
    </w:p>
    <w:p w14:paraId="3502A0E4" w14:textId="77777777" w:rsidR="00BA41E5" w:rsidRDefault="00BA41E5" w:rsidP="00BA41E5">
      <w:pPr>
        <w:spacing w:line="264" w:lineRule="auto"/>
        <w:ind w:firstLine="720"/>
      </w:pPr>
    </w:p>
    <w:p w14:paraId="0E0D655A" w14:textId="75B0889C" w:rsidR="0045002E" w:rsidRDefault="0045002E" w:rsidP="00BA41E5">
      <w:pPr>
        <w:spacing w:line="264" w:lineRule="auto"/>
        <w:ind w:firstLine="720"/>
        <w:rPr>
          <w:color w:val="000000"/>
        </w:rPr>
      </w:pPr>
      <w:r w:rsidRPr="00D7298E">
        <w:rPr>
          <w:color w:val="000000"/>
        </w:rPr>
        <w:t xml:space="preserve">The Company’s </w:t>
      </w:r>
      <w:r w:rsidR="00AD24B9">
        <w:rPr>
          <w:color w:val="000000"/>
        </w:rPr>
        <w:t xml:space="preserve">ultimate parent company, The AES Corporation, annually files FERC Form 60, which </w:t>
      </w:r>
      <w:r w:rsidR="00226BB7">
        <w:rPr>
          <w:color w:val="000000"/>
        </w:rPr>
        <w:t xml:space="preserve">on pages 50-52 </w:t>
      </w:r>
      <w:r w:rsidR="00AD24B9">
        <w:rPr>
          <w:color w:val="000000"/>
        </w:rPr>
        <w:t xml:space="preserve">describes the allocation </w:t>
      </w:r>
      <w:r w:rsidRPr="00BC2EC2">
        <w:rPr>
          <w:color w:val="000000"/>
        </w:rPr>
        <w:t xml:space="preserve">methodologies used to allocate and directly assign costs </w:t>
      </w:r>
      <w:r w:rsidR="00226BB7">
        <w:rPr>
          <w:color w:val="000000"/>
        </w:rPr>
        <w:t xml:space="preserve">of the centralized service company, AES US Services, LLC, </w:t>
      </w:r>
      <w:r w:rsidR="00226BB7" w:rsidRPr="00BC2EC2">
        <w:rPr>
          <w:color w:val="000000"/>
        </w:rPr>
        <w:t xml:space="preserve">by service category or function, </w:t>
      </w:r>
      <w:r w:rsidR="00226BB7">
        <w:rPr>
          <w:color w:val="000000"/>
        </w:rPr>
        <w:t>among affiliated entities, including to AES Ohio.  AES Ohio further notes that its annual FERC Form 1, page</w:t>
      </w:r>
      <w:r w:rsidR="009560C6">
        <w:rPr>
          <w:color w:val="000000"/>
        </w:rPr>
        <w:t xml:space="preserve"> </w:t>
      </w:r>
      <w:r w:rsidR="006F1671">
        <w:rPr>
          <w:color w:val="000000"/>
        </w:rPr>
        <w:t>429</w:t>
      </w:r>
      <w:r w:rsidR="009560C6">
        <w:rPr>
          <w:color w:val="000000"/>
        </w:rPr>
        <w:t xml:space="preserve">, quantifies amounts paid </w:t>
      </w:r>
      <w:r w:rsidR="006F1671">
        <w:rPr>
          <w:color w:val="000000"/>
        </w:rPr>
        <w:t xml:space="preserve">to </w:t>
      </w:r>
      <w:r w:rsidR="009560C6">
        <w:rPr>
          <w:color w:val="000000"/>
        </w:rPr>
        <w:t>or received from affiliated</w:t>
      </w:r>
      <w:r w:rsidR="002403F0">
        <w:rPr>
          <w:color w:val="000000"/>
        </w:rPr>
        <w:t xml:space="preserve"> entities</w:t>
      </w:r>
      <w:r w:rsidR="009560C6">
        <w:rPr>
          <w:color w:val="000000"/>
        </w:rPr>
        <w:t>.</w:t>
      </w:r>
      <w:r w:rsidR="00226BB7">
        <w:rPr>
          <w:color w:val="000000"/>
        </w:rPr>
        <w:t xml:space="preserve"> </w:t>
      </w:r>
      <w:r w:rsidR="002403F0">
        <w:rPr>
          <w:color w:val="000000"/>
        </w:rPr>
        <w:t xml:space="preserve"> </w:t>
      </w:r>
    </w:p>
    <w:p w14:paraId="1D61CB72" w14:textId="77777777" w:rsidR="0045002E" w:rsidRDefault="0045002E" w:rsidP="00BA41E5">
      <w:pPr>
        <w:spacing w:line="264" w:lineRule="auto"/>
        <w:ind w:firstLine="720"/>
        <w:rPr>
          <w:color w:val="000000"/>
        </w:rPr>
      </w:pPr>
    </w:p>
    <w:p w14:paraId="40E31B60" w14:textId="32F5DE66" w:rsidR="00BA41E5" w:rsidRDefault="00BA41E5" w:rsidP="00BA41E5">
      <w:pPr>
        <w:spacing w:line="264" w:lineRule="auto"/>
        <w:ind w:firstLine="720"/>
      </w:pPr>
      <w:r>
        <w:t>AES Ohio is providing a copy of this filing to all parties to Docket No. ER2</w:t>
      </w:r>
      <w:r w:rsidR="002D0B26">
        <w:t>0</w:t>
      </w:r>
      <w:r>
        <w:t xml:space="preserve">-1150-000 as well as to interested parties who have indicated that they wish to receive such updates.  Additionally, </w:t>
      </w:r>
      <w:r w:rsidR="00A37931">
        <w:t xml:space="preserve">as required by Section 3.b. of the Protocols, </w:t>
      </w:r>
      <w:r>
        <w:t xml:space="preserve">AES Ohio is providing this informational filing to PJM for posting on its web-site.  </w:t>
      </w:r>
    </w:p>
    <w:p w14:paraId="639E15D4" w14:textId="77777777" w:rsidR="00BA41E5" w:rsidRDefault="00BA41E5" w:rsidP="00BA41E5">
      <w:pPr>
        <w:spacing w:line="264" w:lineRule="auto"/>
        <w:ind w:firstLine="720"/>
        <w:rPr>
          <w:sz w:val="23"/>
          <w:szCs w:val="23"/>
        </w:rPr>
      </w:pPr>
    </w:p>
    <w:p w14:paraId="42B84BB2" w14:textId="77777777" w:rsidR="00BA41E5" w:rsidRPr="00517F7F" w:rsidRDefault="00BA41E5" w:rsidP="00BA41E5">
      <w:pPr>
        <w:pStyle w:val="Default"/>
        <w:ind w:firstLine="720"/>
      </w:pPr>
      <w:r w:rsidRPr="00517F7F">
        <w:t xml:space="preserve">Please contact the undersigned should you have any questions. </w:t>
      </w:r>
    </w:p>
    <w:p w14:paraId="3A7DB98C" w14:textId="77777777" w:rsidR="00BA41E5" w:rsidRPr="00517F7F" w:rsidRDefault="00BA41E5" w:rsidP="00BA41E5">
      <w:pPr>
        <w:pStyle w:val="Default"/>
      </w:pPr>
    </w:p>
    <w:p w14:paraId="044412EB" w14:textId="77777777" w:rsidR="00BA41E5" w:rsidRPr="00517F7F" w:rsidRDefault="00BA41E5" w:rsidP="00BA41E5">
      <w:pPr>
        <w:pStyle w:val="Default"/>
        <w:ind w:left="3600" w:firstLine="720"/>
      </w:pPr>
      <w:r w:rsidRPr="00517F7F">
        <w:t xml:space="preserve">Respectfully submitted, </w:t>
      </w:r>
    </w:p>
    <w:p w14:paraId="429679CB" w14:textId="77777777" w:rsidR="00BA41E5" w:rsidRDefault="00BA41E5" w:rsidP="00BA41E5">
      <w:pPr>
        <w:pStyle w:val="Default"/>
        <w:ind w:left="3600" w:firstLine="720"/>
        <w:rPr>
          <w:sz w:val="23"/>
          <w:szCs w:val="23"/>
        </w:rPr>
      </w:pPr>
    </w:p>
    <w:p w14:paraId="21CB31F8" w14:textId="77777777" w:rsidR="00BA41E5" w:rsidRPr="00517F7F" w:rsidRDefault="00BA41E5" w:rsidP="00BA41E5">
      <w:pPr>
        <w:pStyle w:val="Default"/>
        <w:ind w:left="3600" w:firstLine="720"/>
        <w:rPr>
          <w:rFonts w:ascii="Brush Script MT" w:hAnsi="Brush Script MT"/>
          <w:sz w:val="36"/>
          <w:szCs w:val="36"/>
        </w:rPr>
      </w:pPr>
      <w:r w:rsidRPr="00517F7F">
        <w:rPr>
          <w:rFonts w:ascii="Brush Script MT" w:hAnsi="Brush Script MT"/>
          <w:sz w:val="36"/>
          <w:szCs w:val="36"/>
        </w:rPr>
        <w:t>Randall V. Griffin</w:t>
      </w:r>
    </w:p>
    <w:p w14:paraId="0B48CD0A" w14:textId="77777777" w:rsidR="00BA41E5" w:rsidRDefault="00BA41E5" w:rsidP="00BA41E5">
      <w:pPr>
        <w:pStyle w:val="Default"/>
        <w:ind w:left="3600" w:firstLine="720"/>
        <w:rPr>
          <w:sz w:val="23"/>
          <w:szCs w:val="23"/>
        </w:rPr>
      </w:pPr>
      <w:r>
        <w:rPr>
          <w:sz w:val="23"/>
          <w:szCs w:val="23"/>
        </w:rPr>
        <w:t>Randall V. Griffin</w:t>
      </w:r>
    </w:p>
    <w:p w14:paraId="02EEB93A" w14:textId="77777777" w:rsidR="00BA41E5" w:rsidRDefault="00BA41E5" w:rsidP="00BA41E5">
      <w:pPr>
        <w:pStyle w:val="Default"/>
        <w:ind w:left="3600" w:firstLine="720"/>
        <w:rPr>
          <w:sz w:val="23"/>
          <w:szCs w:val="23"/>
        </w:rPr>
      </w:pPr>
      <w:r>
        <w:rPr>
          <w:sz w:val="23"/>
          <w:szCs w:val="23"/>
        </w:rPr>
        <w:t>Chief Regulatory Counsel</w:t>
      </w:r>
    </w:p>
    <w:p w14:paraId="1B448937" w14:textId="77777777" w:rsidR="00BA41E5" w:rsidRDefault="00BA41E5" w:rsidP="00BA41E5">
      <w:pPr>
        <w:pStyle w:val="Default"/>
        <w:ind w:left="3600" w:firstLine="720"/>
        <w:rPr>
          <w:sz w:val="23"/>
          <w:szCs w:val="23"/>
        </w:rPr>
      </w:pPr>
      <w:r>
        <w:rPr>
          <w:sz w:val="23"/>
          <w:szCs w:val="23"/>
        </w:rPr>
        <w:t>1065 Woodman Drive</w:t>
      </w:r>
    </w:p>
    <w:p w14:paraId="2F50BDBA" w14:textId="77777777" w:rsidR="00BA41E5" w:rsidRDefault="00BA41E5" w:rsidP="00BA41E5">
      <w:pPr>
        <w:pStyle w:val="Default"/>
        <w:ind w:left="3600" w:firstLine="720"/>
        <w:rPr>
          <w:sz w:val="23"/>
          <w:szCs w:val="23"/>
        </w:rPr>
      </w:pPr>
      <w:r>
        <w:rPr>
          <w:sz w:val="23"/>
          <w:szCs w:val="23"/>
        </w:rPr>
        <w:t>Dayton, Ohio  45432</w:t>
      </w:r>
    </w:p>
    <w:p w14:paraId="478B62A2" w14:textId="77777777" w:rsidR="00BA41E5" w:rsidRDefault="00BA41E5" w:rsidP="00BA41E5">
      <w:pPr>
        <w:pStyle w:val="Default"/>
        <w:ind w:left="3600" w:firstLine="720"/>
        <w:rPr>
          <w:sz w:val="23"/>
          <w:szCs w:val="23"/>
        </w:rPr>
      </w:pPr>
      <w:r>
        <w:rPr>
          <w:sz w:val="23"/>
          <w:szCs w:val="23"/>
        </w:rPr>
        <w:t>937-479-8983 (cell)</w:t>
      </w:r>
    </w:p>
    <w:p w14:paraId="4953C76E" w14:textId="77777777" w:rsidR="00BA41E5" w:rsidRDefault="0020645A" w:rsidP="00BA41E5">
      <w:pPr>
        <w:pStyle w:val="Default"/>
        <w:ind w:left="3600" w:firstLine="720"/>
        <w:rPr>
          <w:sz w:val="23"/>
          <w:szCs w:val="23"/>
        </w:rPr>
      </w:pPr>
      <w:hyperlink r:id="rId9" w:history="1">
        <w:r w:rsidR="00BA41E5" w:rsidRPr="00713521">
          <w:rPr>
            <w:rStyle w:val="Hyperlink"/>
            <w:sz w:val="23"/>
            <w:szCs w:val="23"/>
          </w:rPr>
          <w:t>randall.griffin@aes.com</w:t>
        </w:r>
      </w:hyperlink>
    </w:p>
    <w:p w14:paraId="2E1693FD" w14:textId="77777777" w:rsidR="00BA41E5" w:rsidRDefault="00BA41E5" w:rsidP="00BA41E5">
      <w:pPr>
        <w:pStyle w:val="Default"/>
        <w:ind w:left="3600" w:firstLine="720"/>
        <w:rPr>
          <w:sz w:val="23"/>
          <w:szCs w:val="23"/>
        </w:rPr>
      </w:pPr>
    </w:p>
    <w:p w14:paraId="33382043" w14:textId="71B87C7D" w:rsidR="00BA41E5" w:rsidRDefault="00BA41E5">
      <w:pPr>
        <w:spacing w:after="200" w:line="276" w:lineRule="auto"/>
        <w:rPr>
          <w:rFonts w:ascii="Arial" w:hAnsi="Arial" w:cs="Arial"/>
          <w:sz w:val="22"/>
          <w:szCs w:val="22"/>
        </w:rPr>
      </w:pPr>
    </w:p>
    <w:p w14:paraId="0B3A6B88" w14:textId="77777777" w:rsidR="00BA41E5" w:rsidRPr="00BA41E5" w:rsidRDefault="00BA41E5" w:rsidP="00BA41E5">
      <w:pPr>
        <w:spacing w:line="264" w:lineRule="auto"/>
        <w:jc w:val="center"/>
      </w:pPr>
      <w:r w:rsidRPr="00BA41E5">
        <w:lastRenderedPageBreak/>
        <w:t>CERTIFICATE OF SERVICE</w:t>
      </w:r>
    </w:p>
    <w:p w14:paraId="5B3BF4EE" w14:textId="77777777" w:rsidR="002C1982" w:rsidRDefault="002C1982" w:rsidP="00BA41E5"/>
    <w:p w14:paraId="263034F7" w14:textId="77777777" w:rsidR="00BA41E5" w:rsidRDefault="00BA41E5" w:rsidP="00BA41E5">
      <w:pPr>
        <w:spacing w:line="480" w:lineRule="auto"/>
      </w:pPr>
      <w:r>
        <w:t>I hereby certify that I have this day, June 15, 2021, served via e-mail or by first-class mail, a copy of the foregoing on each party on the official service list compiled by the Secretary in this proceeding.</w:t>
      </w:r>
    </w:p>
    <w:p w14:paraId="226CADCA" w14:textId="77777777" w:rsidR="00BA41E5" w:rsidRDefault="00BA41E5" w:rsidP="00BA41E5">
      <w:r>
        <w:tab/>
      </w:r>
      <w:r>
        <w:tab/>
      </w:r>
      <w:r>
        <w:tab/>
        <w:t xml:space="preserve">On behalf of </w:t>
      </w:r>
      <w:r>
        <w:tab/>
      </w:r>
      <w:r>
        <w:tab/>
        <w:t>The AES Corporation</w:t>
      </w:r>
    </w:p>
    <w:p w14:paraId="3E53F1DA" w14:textId="77777777" w:rsidR="00BA41E5" w:rsidRDefault="00BA41E5" w:rsidP="00BA41E5">
      <w:r>
        <w:tab/>
      </w:r>
      <w:r>
        <w:tab/>
      </w:r>
      <w:r>
        <w:tab/>
      </w:r>
      <w:r>
        <w:tab/>
      </w:r>
      <w:r>
        <w:tab/>
      </w:r>
      <w:r>
        <w:tab/>
      </w:r>
    </w:p>
    <w:p w14:paraId="35721F5F" w14:textId="77777777" w:rsidR="00BA41E5" w:rsidRPr="00AB3640" w:rsidRDefault="00BA41E5" w:rsidP="00BA41E5">
      <w:pPr>
        <w:rPr>
          <w:rFonts w:ascii="Brush Script MT" w:hAnsi="Brush Script MT"/>
          <w:sz w:val="40"/>
          <w:szCs w:val="40"/>
        </w:rPr>
      </w:pPr>
      <w:r>
        <w:tab/>
      </w:r>
      <w:r>
        <w:tab/>
      </w:r>
      <w:r>
        <w:tab/>
      </w:r>
      <w:r>
        <w:tab/>
      </w:r>
      <w:r>
        <w:tab/>
      </w:r>
      <w:r>
        <w:tab/>
      </w:r>
      <w:r w:rsidRPr="00AB3640">
        <w:rPr>
          <w:rFonts w:ascii="Brush Script MT" w:hAnsi="Brush Script MT"/>
          <w:sz w:val="40"/>
          <w:szCs w:val="40"/>
        </w:rPr>
        <w:t>Randall V. Griffin</w:t>
      </w:r>
    </w:p>
    <w:p w14:paraId="762A5DEB" w14:textId="77777777" w:rsidR="00BA41E5" w:rsidRDefault="00BA41E5" w:rsidP="00BA41E5">
      <w:r>
        <w:tab/>
      </w:r>
      <w:r>
        <w:tab/>
      </w:r>
      <w:r>
        <w:tab/>
      </w:r>
      <w:r>
        <w:tab/>
      </w:r>
      <w:r>
        <w:tab/>
      </w:r>
      <w:r>
        <w:tab/>
        <w:t>Randall V. Griffin</w:t>
      </w:r>
    </w:p>
    <w:p w14:paraId="5261FB7A" w14:textId="77777777" w:rsidR="00BA41E5" w:rsidRDefault="00BA41E5" w:rsidP="00BA41E5">
      <w:r>
        <w:tab/>
      </w:r>
      <w:r>
        <w:tab/>
      </w:r>
      <w:r>
        <w:tab/>
      </w:r>
      <w:r>
        <w:tab/>
      </w:r>
      <w:r>
        <w:tab/>
      </w:r>
      <w:r>
        <w:tab/>
        <w:t>Chief Regulatory Counsel</w:t>
      </w:r>
    </w:p>
    <w:p w14:paraId="13F961F2" w14:textId="77777777" w:rsidR="00BA41E5" w:rsidRDefault="00BA41E5" w:rsidP="00BA41E5">
      <w:r>
        <w:tab/>
      </w:r>
      <w:r>
        <w:tab/>
      </w:r>
      <w:r>
        <w:tab/>
      </w:r>
      <w:r>
        <w:tab/>
      </w:r>
      <w:r>
        <w:tab/>
      </w:r>
      <w:r>
        <w:tab/>
        <w:t>AES U.S. Services, LLC</w:t>
      </w:r>
    </w:p>
    <w:p w14:paraId="612F4698" w14:textId="77777777" w:rsidR="00BA41E5" w:rsidRDefault="00BA41E5" w:rsidP="00BA41E5">
      <w:r>
        <w:tab/>
      </w:r>
      <w:r>
        <w:tab/>
      </w:r>
      <w:r>
        <w:tab/>
      </w:r>
      <w:r>
        <w:tab/>
      </w:r>
      <w:r>
        <w:tab/>
      </w:r>
      <w:r>
        <w:tab/>
        <w:t>1065 Woodman Drive</w:t>
      </w:r>
    </w:p>
    <w:p w14:paraId="6DB43292" w14:textId="77777777" w:rsidR="00BA41E5" w:rsidRDefault="00BA41E5" w:rsidP="00BA41E5">
      <w:r>
        <w:tab/>
      </w:r>
      <w:r>
        <w:tab/>
      </w:r>
      <w:r>
        <w:tab/>
      </w:r>
      <w:r>
        <w:tab/>
      </w:r>
      <w:r>
        <w:tab/>
      </w:r>
      <w:r>
        <w:tab/>
        <w:t>Dayton, OH 45432</w:t>
      </w:r>
    </w:p>
    <w:p w14:paraId="350506D2" w14:textId="77777777" w:rsidR="00BA41E5" w:rsidRDefault="00BA41E5" w:rsidP="00BA41E5">
      <w:r>
        <w:tab/>
      </w:r>
      <w:r>
        <w:tab/>
      </w:r>
      <w:r>
        <w:tab/>
      </w:r>
      <w:r>
        <w:tab/>
      </w:r>
      <w:r>
        <w:tab/>
      </w:r>
      <w:r>
        <w:tab/>
        <w:t>(937) 479-8983 (cell)</w:t>
      </w:r>
    </w:p>
    <w:p w14:paraId="1CE382D4" w14:textId="77777777" w:rsidR="00BA41E5" w:rsidRPr="00E23932" w:rsidRDefault="00BA41E5" w:rsidP="00BA41E5">
      <w:r>
        <w:tab/>
      </w:r>
      <w:r>
        <w:tab/>
      </w:r>
      <w:r>
        <w:tab/>
      </w:r>
      <w:r>
        <w:tab/>
      </w:r>
      <w:r>
        <w:tab/>
      </w:r>
      <w:r>
        <w:tab/>
      </w:r>
      <w:hyperlink r:id="rId10" w:history="1">
        <w:r w:rsidRPr="00E21686">
          <w:rPr>
            <w:rStyle w:val="Hyperlink"/>
          </w:rPr>
          <w:t>randall.griffin@aes.com</w:t>
        </w:r>
      </w:hyperlink>
    </w:p>
    <w:p w14:paraId="5F1EBF01" w14:textId="77777777" w:rsidR="00BA41E5" w:rsidRDefault="00BA41E5" w:rsidP="00BA41E5">
      <w:pPr>
        <w:spacing w:line="480" w:lineRule="auto"/>
      </w:pPr>
    </w:p>
    <w:p w14:paraId="399267D9" w14:textId="77777777" w:rsidR="00BA41E5" w:rsidRDefault="00BA41E5" w:rsidP="00BA41E5">
      <w:pPr>
        <w:spacing w:line="480" w:lineRule="auto"/>
      </w:pPr>
    </w:p>
    <w:p w14:paraId="40A6CB8B" w14:textId="77777777" w:rsidR="00BA41E5" w:rsidRPr="00EE0518" w:rsidRDefault="00BA41E5" w:rsidP="00BA41E5"/>
    <w:sectPr w:rsidR="00BA41E5" w:rsidRPr="00EE0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1630" w14:textId="77777777" w:rsidR="00940FB4" w:rsidRDefault="00940FB4" w:rsidP="00BA41E5">
      <w:r>
        <w:separator/>
      </w:r>
    </w:p>
  </w:endnote>
  <w:endnote w:type="continuationSeparator" w:id="0">
    <w:p w14:paraId="5F8BD78C" w14:textId="77777777" w:rsidR="00940FB4" w:rsidRDefault="00940FB4" w:rsidP="00BA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13A8" w14:textId="77777777" w:rsidR="00940FB4" w:rsidRDefault="00940FB4" w:rsidP="00BA41E5">
      <w:r>
        <w:separator/>
      </w:r>
    </w:p>
  </w:footnote>
  <w:footnote w:type="continuationSeparator" w:id="0">
    <w:p w14:paraId="2452801B" w14:textId="77777777" w:rsidR="00940FB4" w:rsidRDefault="00940FB4" w:rsidP="00BA41E5">
      <w:r>
        <w:continuationSeparator/>
      </w:r>
    </w:p>
  </w:footnote>
  <w:footnote w:id="1">
    <w:p w14:paraId="63924F5E" w14:textId="27BF42D1" w:rsidR="00BA41E5" w:rsidRPr="00997BCA" w:rsidRDefault="00BA41E5" w:rsidP="00BA41E5">
      <w:pPr>
        <w:pStyle w:val="FootnoteText"/>
        <w:rPr>
          <w:rFonts w:ascii="Times New Roman" w:hAnsi="Times New Roman" w:cs="Times New Roman"/>
          <w:sz w:val="24"/>
          <w:szCs w:val="24"/>
        </w:rPr>
      </w:pPr>
      <w:r w:rsidRPr="00997BCA">
        <w:rPr>
          <w:rStyle w:val="FootnoteReference"/>
          <w:rFonts w:ascii="Times New Roman" w:hAnsi="Times New Roman" w:cs="Times New Roman"/>
          <w:sz w:val="24"/>
          <w:szCs w:val="24"/>
        </w:rPr>
        <w:footnoteRef/>
      </w:r>
      <w:r w:rsidRPr="00997BCA">
        <w:rPr>
          <w:rFonts w:ascii="Times New Roman" w:hAnsi="Times New Roman" w:cs="Times New Roman"/>
          <w:sz w:val="24"/>
          <w:szCs w:val="24"/>
        </w:rPr>
        <w:t xml:space="preserve">  These formula rate protocols were part of a comprehensive settlement package a</w:t>
      </w:r>
      <w:r w:rsidR="00EA771B">
        <w:rPr>
          <w:rFonts w:ascii="Times New Roman" w:hAnsi="Times New Roman" w:cs="Times New Roman"/>
          <w:sz w:val="24"/>
          <w:szCs w:val="24"/>
        </w:rPr>
        <w:t>pproved by the Commission</w:t>
      </w:r>
      <w:r w:rsidRPr="00997BCA">
        <w:rPr>
          <w:rFonts w:ascii="Times New Roman" w:hAnsi="Times New Roman" w:cs="Times New Roman"/>
          <w:sz w:val="24"/>
          <w:szCs w:val="24"/>
        </w:rPr>
        <w:t xml:space="preserve"> in </w:t>
      </w:r>
      <w:r w:rsidR="00EA771B" w:rsidRPr="00EA771B">
        <w:rPr>
          <w:rFonts w:ascii="Times New Roman" w:hAnsi="Times New Roman" w:cs="Times New Roman"/>
          <w:i/>
          <w:sz w:val="24"/>
          <w:szCs w:val="24"/>
        </w:rPr>
        <w:t>The Dayton Power and Light Co</w:t>
      </w:r>
      <w:r w:rsidR="00EA771B">
        <w:rPr>
          <w:rFonts w:ascii="Times New Roman" w:hAnsi="Times New Roman" w:cs="Times New Roman"/>
          <w:sz w:val="24"/>
          <w:szCs w:val="24"/>
        </w:rPr>
        <w:t xml:space="preserve">., </w:t>
      </w:r>
      <w:r w:rsidRPr="00997BCA">
        <w:rPr>
          <w:rFonts w:ascii="Times New Roman" w:hAnsi="Times New Roman" w:cs="Times New Roman"/>
          <w:sz w:val="24"/>
          <w:szCs w:val="24"/>
        </w:rPr>
        <w:t xml:space="preserve">Docket No. ER20-1150-001, 175 FERC ¶ 61,021 </w:t>
      </w:r>
      <w:r w:rsidR="00EA771B">
        <w:rPr>
          <w:rFonts w:ascii="Times New Roman" w:hAnsi="Times New Roman" w:cs="Times New Roman"/>
          <w:sz w:val="24"/>
          <w:szCs w:val="24"/>
        </w:rPr>
        <w:t xml:space="preserve">(Letter Order of Apr. 15, 2021) </w:t>
      </w:r>
      <w:r w:rsidRPr="00997BCA">
        <w:rPr>
          <w:rFonts w:ascii="Times New Roman" w:hAnsi="Times New Roman" w:cs="Times New Roman"/>
          <w:sz w:val="24"/>
          <w:szCs w:val="24"/>
        </w:rPr>
        <w:t>(“Letter Order”).</w:t>
      </w:r>
    </w:p>
  </w:footnote>
  <w:footnote w:id="2">
    <w:p w14:paraId="60B5EB6F" w14:textId="138C544E" w:rsidR="009B7CBA" w:rsidRPr="006F1671" w:rsidRDefault="009B7CBA">
      <w:pPr>
        <w:pStyle w:val="FootnoteText"/>
        <w:rPr>
          <w:rFonts w:ascii="Times New Roman" w:hAnsi="Times New Roman" w:cs="Times New Roman"/>
          <w:sz w:val="24"/>
          <w:szCs w:val="24"/>
        </w:rPr>
      </w:pPr>
      <w:r w:rsidRPr="006F1671">
        <w:rPr>
          <w:rStyle w:val="FootnoteReference"/>
          <w:rFonts w:ascii="Times New Roman" w:hAnsi="Times New Roman" w:cs="Times New Roman"/>
          <w:sz w:val="24"/>
          <w:szCs w:val="24"/>
        </w:rPr>
        <w:footnoteRef/>
      </w:r>
      <w:r w:rsidRPr="006F1671">
        <w:rPr>
          <w:rFonts w:ascii="Times New Roman" w:hAnsi="Times New Roman" w:cs="Times New Roman"/>
          <w:sz w:val="24"/>
          <w:szCs w:val="24"/>
        </w:rPr>
        <w:t xml:space="preserve"> This 2021 ATRR reflects the comprehensive settlement as well as a 9.85% total ROE.  It was posted to the PJM website in July 2021.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18"/>
    <w:rsid w:val="00041932"/>
    <w:rsid w:val="000B1B9D"/>
    <w:rsid w:val="0010119B"/>
    <w:rsid w:val="00114589"/>
    <w:rsid w:val="00135894"/>
    <w:rsid w:val="00137AF9"/>
    <w:rsid w:val="0020557D"/>
    <w:rsid w:val="0020645A"/>
    <w:rsid w:val="00226BB7"/>
    <w:rsid w:val="002403F0"/>
    <w:rsid w:val="002847FA"/>
    <w:rsid w:val="002C1982"/>
    <w:rsid w:val="002D0B26"/>
    <w:rsid w:val="0034757F"/>
    <w:rsid w:val="003A6AF1"/>
    <w:rsid w:val="0045002E"/>
    <w:rsid w:val="00456076"/>
    <w:rsid w:val="00513DE9"/>
    <w:rsid w:val="00556E1D"/>
    <w:rsid w:val="005A17CA"/>
    <w:rsid w:val="005B29EB"/>
    <w:rsid w:val="005C0241"/>
    <w:rsid w:val="005D5791"/>
    <w:rsid w:val="00656DF4"/>
    <w:rsid w:val="006E5141"/>
    <w:rsid w:val="006F1671"/>
    <w:rsid w:val="00702BBE"/>
    <w:rsid w:val="00775E98"/>
    <w:rsid w:val="00814D2F"/>
    <w:rsid w:val="00892437"/>
    <w:rsid w:val="008C3A0B"/>
    <w:rsid w:val="0090259C"/>
    <w:rsid w:val="00940FB4"/>
    <w:rsid w:val="009560C6"/>
    <w:rsid w:val="009B7CBA"/>
    <w:rsid w:val="009D5516"/>
    <w:rsid w:val="00A37931"/>
    <w:rsid w:val="00A53A92"/>
    <w:rsid w:val="00A654A7"/>
    <w:rsid w:val="00AA3002"/>
    <w:rsid w:val="00AD0BB1"/>
    <w:rsid w:val="00AD24B9"/>
    <w:rsid w:val="00BA41E5"/>
    <w:rsid w:val="00BC3175"/>
    <w:rsid w:val="00C83BA6"/>
    <w:rsid w:val="00CE7525"/>
    <w:rsid w:val="00D06864"/>
    <w:rsid w:val="00E27C7D"/>
    <w:rsid w:val="00E410B4"/>
    <w:rsid w:val="00E6377D"/>
    <w:rsid w:val="00EA771B"/>
    <w:rsid w:val="00EE0518"/>
    <w:rsid w:val="00EE06F5"/>
    <w:rsid w:val="00EF3CA8"/>
    <w:rsid w:val="00F008DF"/>
    <w:rsid w:val="00F020B0"/>
    <w:rsid w:val="00F83B7E"/>
    <w:rsid w:val="00F8722C"/>
    <w:rsid w:val="00FD1901"/>
    <w:rsid w:val="00FD1AAA"/>
    <w:rsid w:val="00F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57DF"/>
  <w15:docId w15:val="{0898B15C-BACA-4AC6-8793-94A0891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57D"/>
    <w:pPr>
      <w:spacing w:before="100" w:beforeAutospacing="1" w:after="100" w:afterAutospacing="1"/>
    </w:pPr>
    <w:rPr>
      <w:rFonts w:eastAsia="Times New Roman"/>
    </w:rPr>
  </w:style>
  <w:style w:type="paragraph" w:customStyle="1" w:styleId="Default">
    <w:name w:val="Default"/>
    <w:rsid w:val="00BA41E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A41E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A41E5"/>
    <w:rPr>
      <w:sz w:val="20"/>
      <w:szCs w:val="20"/>
    </w:rPr>
  </w:style>
  <w:style w:type="character" w:styleId="FootnoteReference">
    <w:name w:val="footnote reference"/>
    <w:basedOn w:val="DefaultParagraphFont"/>
    <w:uiPriority w:val="99"/>
    <w:semiHidden/>
    <w:unhideWhenUsed/>
    <w:rsid w:val="00BA41E5"/>
    <w:rPr>
      <w:vertAlign w:val="superscript"/>
    </w:rPr>
  </w:style>
  <w:style w:type="character" w:styleId="Hyperlink">
    <w:name w:val="Hyperlink"/>
    <w:basedOn w:val="DefaultParagraphFont"/>
    <w:uiPriority w:val="99"/>
    <w:unhideWhenUsed/>
    <w:rsid w:val="00BA41E5"/>
    <w:rPr>
      <w:color w:val="0000FF" w:themeColor="hyperlink"/>
      <w:u w:val="single"/>
    </w:rPr>
  </w:style>
  <w:style w:type="paragraph" w:styleId="BalloonText">
    <w:name w:val="Balloon Text"/>
    <w:basedOn w:val="Normal"/>
    <w:link w:val="BalloonTextChar"/>
    <w:uiPriority w:val="99"/>
    <w:semiHidden/>
    <w:unhideWhenUsed/>
    <w:rsid w:val="00BA41E5"/>
    <w:rPr>
      <w:rFonts w:ascii="Tahoma" w:hAnsi="Tahoma" w:cs="Tahoma"/>
      <w:sz w:val="16"/>
      <w:szCs w:val="16"/>
    </w:rPr>
  </w:style>
  <w:style w:type="character" w:customStyle="1" w:styleId="BalloonTextChar">
    <w:name w:val="Balloon Text Char"/>
    <w:basedOn w:val="DefaultParagraphFont"/>
    <w:link w:val="BalloonText"/>
    <w:uiPriority w:val="99"/>
    <w:semiHidden/>
    <w:rsid w:val="00BA41E5"/>
    <w:rPr>
      <w:rFonts w:ascii="Tahoma" w:hAnsi="Tahoma" w:cs="Tahoma"/>
      <w:sz w:val="16"/>
      <w:szCs w:val="16"/>
    </w:rPr>
  </w:style>
  <w:style w:type="paragraph" w:styleId="Revision">
    <w:name w:val="Revision"/>
    <w:hidden/>
    <w:uiPriority w:val="99"/>
    <w:semiHidden/>
    <w:rsid w:val="005B29E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F683C.69E363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ndall.griffin@aes.com" TargetMode="External"/><Relationship Id="rId4" Type="http://schemas.openxmlformats.org/officeDocument/2006/relationships/webSettings" Target="webSettings.xml"/><Relationship Id="rId9" Type="http://schemas.openxmlformats.org/officeDocument/2006/relationships/hyperlink" Target="mailto:randall.griffin@a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1EC77-0078-469C-B52E-85EC4B6B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DPL, Inc.</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Randall</dc:creator>
  <cp:lastModifiedBy>Randall V Griffin</cp:lastModifiedBy>
  <cp:revision>2</cp:revision>
  <dcterms:created xsi:type="dcterms:W3CDTF">2022-06-15T12:21:00Z</dcterms:created>
  <dcterms:modified xsi:type="dcterms:W3CDTF">2022-06-15T12:21:00Z</dcterms:modified>
</cp:coreProperties>
</file>